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BA58" w14:textId="77777777" w:rsidR="00AD2B87" w:rsidRDefault="00000000">
      <w:pPr>
        <w:pStyle w:val="BodyText"/>
        <w:bidi/>
        <w:ind w:left="115" w:firstLine="0"/>
      </w:pPr>
      <w:r>
        <w:rPr>
          <w:noProof/>
        </w:rPr>
        <w:drawing>
          <wp:inline distT="0" distB="0" distL="0" distR="0" wp14:anchorId="28AB4D81" wp14:editId="4EC9139F">
            <wp:extent cx="2969558" cy="476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55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B1FD" w14:textId="77777777" w:rsidR="00AD2B87" w:rsidRDefault="00AD2B87" w:rsidP="00C13670">
      <w:pPr>
        <w:pStyle w:val="BodyText"/>
        <w:spacing w:after="240"/>
        <w:ind w:firstLine="0"/>
      </w:pPr>
    </w:p>
    <w:p w14:paraId="4127BAAA" w14:textId="77777777" w:rsidR="00AD2B87" w:rsidRDefault="00000000">
      <w:pPr>
        <w:pStyle w:val="Title"/>
        <w:bidi/>
      </w:pPr>
      <w:r>
        <w:rPr>
          <w:rtl/>
          <w:lang w:bidi="ar"/>
        </w:rPr>
        <w:t xml:space="preserve">سياسة التدريب الأمني والتوعية بالتهديدات لشركة </w:t>
      </w:r>
      <w:r>
        <w:t>SEKO Worldwide LLC</w:t>
      </w:r>
      <w:r>
        <w:rPr>
          <w:rtl/>
          <w:lang w:bidi="ar"/>
        </w:rPr>
        <w:t xml:space="preserve"> و</w:t>
      </w:r>
      <w:r>
        <w:t>SEKO Customs Brokerage Inc</w:t>
      </w:r>
      <w:r>
        <w:rPr>
          <w:b w:val="0"/>
          <w:bCs w:val="0"/>
          <w:noProof/>
        </w:rPr>
        <w:drawing>
          <wp:anchor distT="0" distB="0" distL="0" distR="0" simplePos="0" relativeHeight="251658240" behindDoc="1" locked="0" layoutInCell="1" allowOverlap="1" wp14:anchorId="130298BA" wp14:editId="65A9C281">
            <wp:simplePos x="0" y="0"/>
            <wp:positionH relativeFrom="page">
              <wp:posOffset>2324735</wp:posOffset>
            </wp:positionH>
            <wp:positionV relativeFrom="paragraph">
              <wp:posOffset>59602</wp:posOffset>
            </wp:positionV>
            <wp:extent cx="4584699" cy="7200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B93F2" w14:textId="77777777" w:rsidR="00AD2B87" w:rsidRDefault="00AD2B87" w:rsidP="00C13670">
      <w:pPr>
        <w:pStyle w:val="BodyText"/>
        <w:spacing w:before="4" w:after="240"/>
        <w:ind w:firstLine="0"/>
        <w:rPr>
          <w:b/>
          <w:sz w:val="19"/>
        </w:rPr>
      </w:pPr>
    </w:p>
    <w:p w14:paraId="07F79D2F" w14:textId="77777777" w:rsidR="00AD2B87" w:rsidRDefault="00000000">
      <w:pPr>
        <w:pStyle w:val="BodyText"/>
        <w:bidi/>
        <w:ind w:left="1072" w:right="1036" w:firstLine="42"/>
      </w:pPr>
      <w:r>
        <w:rPr>
          <w:rtl/>
          <w:lang w:bidi="ar"/>
        </w:rPr>
        <w:t xml:space="preserve">شركة </w:t>
      </w:r>
      <w:r>
        <w:t>SEKO</w:t>
      </w:r>
      <w:r>
        <w:rPr>
          <w:rtl/>
          <w:lang w:bidi="ar"/>
        </w:rPr>
        <w:t xml:space="preserve"> هي واحدة من المشاركين في الشراكة الجمركية والتجارية لمكافحة الإرهاب وتتولى المسؤولية عن تنفيذ هذه السياسة ومراجعتها سنوياً وتطبيقها بشكل متسق. ستُوثق جميع التدريبات في نظام إدارة التعليم لشركة </w:t>
      </w:r>
      <w:r>
        <w:t>SEKO</w:t>
      </w:r>
      <w:r>
        <w:rPr>
          <w:rtl/>
          <w:lang w:bidi="ar"/>
        </w:rPr>
        <w:t>. سيُجرى تدريب تنشيطي سنويًا على الأقل، أو مع تغير الإجراءات والتهديدات الأمنية.</w:t>
      </w:r>
    </w:p>
    <w:p w14:paraId="12D81DC5" w14:textId="77777777" w:rsidR="00AD2B87" w:rsidRDefault="00AD2B87" w:rsidP="00C13670">
      <w:pPr>
        <w:pStyle w:val="BodyText"/>
        <w:spacing w:before="9" w:after="240"/>
        <w:ind w:firstLine="0"/>
        <w:rPr>
          <w:sz w:val="19"/>
        </w:rPr>
      </w:pPr>
    </w:p>
    <w:p w14:paraId="07FABD7A" w14:textId="77777777" w:rsidR="00AD2B87" w:rsidRDefault="00000000">
      <w:pPr>
        <w:pStyle w:val="BodyText"/>
        <w:bidi/>
        <w:ind w:left="1072" w:firstLine="0"/>
      </w:pPr>
      <w:r>
        <w:rPr>
          <w:rtl/>
          <w:lang w:bidi="ar"/>
        </w:rPr>
        <w:t>سيتلقى جميع الموظفين تدريبًا في الموضوعات التالية:</w:t>
      </w:r>
    </w:p>
    <w:p w14:paraId="3943998F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7166CB2D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bidi/>
        <w:spacing w:line="244" w:lineRule="exact"/>
        <w:ind w:hanging="361"/>
        <w:rPr>
          <w:sz w:val="20"/>
        </w:rPr>
      </w:pPr>
      <w:r>
        <w:rPr>
          <w:sz w:val="20"/>
          <w:rtl/>
          <w:lang w:bidi="ar"/>
        </w:rPr>
        <w:t>برنامج الشراكة الجمركية والتجارية لمكافحة الإرهاب – الغرض، والأهداف، والقصد من الحد الأدنى من المعايير الأمنية</w:t>
      </w:r>
    </w:p>
    <w:p w14:paraId="0F8D8173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bidi/>
        <w:spacing w:line="244" w:lineRule="exact"/>
        <w:ind w:hanging="361"/>
        <w:rPr>
          <w:sz w:val="20"/>
        </w:rPr>
      </w:pPr>
      <w:r>
        <w:rPr>
          <w:sz w:val="20"/>
          <w:rtl/>
          <w:lang w:bidi="ar"/>
        </w:rPr>
        <w:t>ترتيبات الاعتراف المتبادل والبرامج الحكومية الأخرى (برامج المشغل الاقتصادي المعتمد، خطة تحسين الأداء، إلخ.)</w:t>
      </w:r>
    </w:p>
    <w:p w14:paraId="42ABD53F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bidi/>
        <w:spacing w:before="2"/>
        <w:ind w:hanging="361"/>
        <w:rPr>
          <w:sz w:val="20"/>
        </w:rPr>
      </w:pPr>
      <w:r>
        <w:rPr>
          <w:sz w:val="20"/>
          <w:rtl/>
          <w:lang w:bidi="ar"/>
        </w:rPr>
        <w:t>المسائل المحددة للشركة التي تنطبق على الشراكة الجمركية والتجارية لمكافحة الإرهاب</w:t>
      </w:r>
    </w:p>
    <w:p w14:paraId="55209BC4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bidi/>
        <w:spacing w:line="240" w:lineRule="auto"/>
        <w:ind w:hanging="361"/>
        <w:rPr>
          <w:sz w:val="20"/>
        </w:rPr>
      </w:pPr>
      <w:r>
        <w:rPr>
          <w:sz w:val="20"/>
          <w:rtl/>
          <w:lang w:bidi="ar"/>
        </w:rPr>
        <w:t>ضوابط الوصول</w:t>
      </w:r>
    </w:p>
    <w:p w14:paraId="5F048BC9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bidi/>
        <w:spacing w:before="14" w:line="239" w:lineRule="exact"/>
        <w:ind w:hanging="361"/>
        <w:rPr>
          <w:sz w:val="20"/>
        </w:rPr>
      </w:pPr>
      <w:r>
        <w:rPr>
          <w:sz w:val="20"/>
          <w:rtl/>
          <w:lang w:bidi="ar"/>
        </w:rPr>
        <w:t>ضوابط جهاز الوصول</w:t>
      </w:r>
    </w:p>
    <w:p w14:paraId="4C739934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bidi/>
        <w:spacing w:line="230" w:lineRule="exact"/>
        <w:ind w:hanging="361"/>
        <w:rPr>
          <w:sz w:val="20"/>
        </w:rPr>
      </w:pPr>
      <w:r>
        <w:rPr>
          <w:sz w:val="20"/>
          <w:rtl/>
          <w:lang w:bidi="ar"/>
        </w:rPr>
        <w:t>إجراءات الزائر</w:t>
      </w:r>
    </w:p>
    <w:p w14:paraId="09C92B0C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bidi/>
        <w:spacing w:line="223" w:lineRule="exact"/>
        <w:ind w:hanging="361"/>
        <w:rPr>
          <w:sz w:val="20"/>
        </w:rPr>
      </w:pPr>
      <w:r>
        <w:rPr>
          <w:sz w:val="20"/>
          <w:rtl/>
          <w:lang w:bidi="ar"/>
        </w:rPr>
        <w:t>إجراءات المرافقة</w:t>
      </w:r>
    </w:p>
    <w:p w14:paraId="058525F5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bidi/>
        <w:spacing w:line="230" w:lineRule="exact"/>
        <w:ind w:hanging="361"/>
        <w:rPr>
          <w:sz w:val="20"/>
        </w:rPr>
      </w:pPr>
      <w:r>
        <w:rPr>
          <w:sz w:val="20"/>
          <w:rtl/>
          <w:lang w:bidi="ar"/>
        </w:rPr>
        <w:t>اعتراض الأشخاص الذين يبدو أنهم غير مصرح لهم</w:t>
      </w:r>
    </w:p>
    <w:p w14:paraId="600DDD20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bidi/>
        <w:ind w:hanging="361"/>
        <w:rPr>
          <w:sz w:val="20"/>
        </w:rPr>
      </w:pPr>
      <w:r>
        <w:rPr>
          <w:sz w:val="20"/>
          <w:rtl/>
          <w:lang w:bidi="ar"/>
        </w:rPr>
        <w:t>الإبلاغ عن الحوادث/ المخاوف الأمنية</w:t>
      </w:r>
    </w:p>
    <w:p w14:paraId="0EE90C83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bidi/>
        <w:spacing w:line="242" w:lineRule="exact"/>
        <w:ind w:hanging="361"/>
        <w:rPr>
          <w:sz w:val="20"/>
        </w:rPr>
      </w:pPr>
      <w:r>
        <w:rPr>
          <w:sz w:val="20"/>
          <w:rtl/>
          <w:lang w:bidi="ar"/>
        </w:rPr>
        <w:t>المؤامرات الداخلية</w:t>
      </w:r>
    </w:p>
    <w:p w14:paraId="1D91C90C" w14:textId="77777777" w:rsidR="00AD2B87" w:rsidRDefault="00000000">
      <w:pPr>
        <w:pStyle w:val="ListParagraph"/>
        <w:numPr>
          <w:ilvl w:val="0"/>
          <w:numId w:val="1"/>
        </w:numPr>
        <w:tabs>
          <w:tab w:val="left" w:pos="1793"/>
          <w:tab w:val="left" w:pos="1794"/>
        </w:tabs>
        <w:bidi/>
        <w:spacing w:line="243" w:lineRule="exact"/>
        <w:ind w:hanging="361"/>
        <w:rPr>
          <w:sz w:val="20"/>
        </w:rPr>
      </w:pPr>
      <w:r>
        <w:rPr>
          <w:sz w:val="20"/>
          <w:rtl/>
          <w:lang w:bidi="ar"/>
        </w:rPr>
        <w:t>الأمن المادي</w:t>
      </w:r>
    </w:p>
    <w:p w14:paraId="7CDA8176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bidi/>
        <w:spacing w:before="17" w:line="239" w:lineRule="exact"/>
        <w:ind w:hanging="361"/>
        <w:rPr>
          <w:sz w:val="20"/>
        </w:rPr>
      </w:pPr>
      <w:r>
        <w:rPr>
          <w:sz w:val="20"/>
          <w:rtl/>
          <w:lang w:bidi="ar"/>
        </w:rPr>
        <w:t>موقف السيارات</w:t>
      </w:r>
    </w:p>
    <w:p w14:paraId="65A57D3B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bidi/>
        <w:spacing w:line="230" w:lineRule="exact"/>
        <w:ind w:hanging="361"/>
        <w:rPr>
          <w:sz w:val="20"/>
        </w:rPr>
      </w:pPr>
      <w:r>
        <w:rPr>
          <w:sz w:val="20"/>
          <w:rtl/>
          <w:lang w:bidi="ar"/>
        </w:rPr>
        <w:t>السياج</w:t>
      </w:r>
    </w:p>
    <w:p w14:paraId="18C239E5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bidi/>
        <w:spacing w:line="230" w:lineRule="exact"/>
        <w:ind w:hanging="361"/>
        <w:rPr>
          <w:sz w:val="20"/>
        </w:rPr>
      </w:pPr>
      <w:r>
        <w:rPr>
          <w:sz w:val="20"/>
          <w:rtl/>
          <w:lang w:bidi="ar"/>
        </w:rPr>
        <w:t>الإضاءة</w:t>
      </w:r>
    </w:p>
    <w:p w14:paraId="6E33CA86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bidi/>
        <w:spacing w:line="230" w:lineRule="exact"/>
        <w:ind w:hanging="361"/>
        <w:rPr>
          <w:sz w:val="20"/>
        </w:rPr>
      </w:pPr>
      <w:r>
        <w:rPr>
          <w:sz w:val="20"/>
          <w:rtl/>
          <w:lang w:bidi="ar"/>
        </w:rPr>
        <w:t>هيكل المبنى</w:t>
      </w:r>
    </w:p>
    <w:p w14:paraId="53ED69B2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bidi/>
        <w:spacing w:line="229" w:lineRule="exact"/>
        <w:ind w:hanging="361"/>
        <w:rPr>
          <w:sz w:val="20"/>
        </w:rPr>
      </w:pPr>
      <w:r>
        <w:rPr>
          <w:sz w:val="20"/>
          <w:rtl/>
          <w:lang w:bidi="ar"/>
        </w:rPr>
        <w:t>البوابات</w:t>
      </w:r>
    </w:p>
    <w:p w14:paraId="55FCA49C" w14:textId="77777777" w:rsidR="00AD2B87" w:rsidRDefault="00000000">
      <w:pPr>
        <w:pStyle w:val="ListParagraph"/>
        <w:numPr>
          <w:ilvl w:val="1"/>
          <w:numId w:val="1"/>
        </w:numPr>
        <w:tabs>
          <w:tab w:val="left" w:pos="2514"/>
        </w:tabs>
        <w:bidi/>
        <w:spacing w:line="238" w:lineRule="exact"/>
        <w:ind w:hanging="361"/>
        <w:rPr>
          <w:sz w:val="20"/>
        </w:rPr>
      </w:pPr>
      <w:r>
        <w:rPr>
          <w:sz w:val="20"/>
          <w:rtl/>
          <w:lang w:bidi="ar"/>
        </w:rPr>
        <w:t>جهاز القفل وعناصر التحكم الرئيسية/ أنظمة الإنذار ومراقبة الفيديو</w:t>
      </w:r>
    </w:p>
    <w:p w14:paraId="5843D16F" w14:textId="77777777" w:rsidR="00AD2B87" w:rsidRDefault="00000000">
      <w:pPr>
        <w:pStyle w:val="BodyText"/>
        <w:bidi/>
        <w:spacing w:before="195"/>
        <w:ind w:left="1072" w:right="1036" w:firstLine="0"/>
      </w:pPr>
      <w:r>
        <w:rPr>
          <w:rtl/>
          <w:lang w:bidi="ar"/>
        </w:rPr>
        <w:t>سيتلقى جميع الموظفين التدريب على الموضوعات المذكورة أعلاه كجزء من عملية التوظيف والتدريب المستمر مع تغيرات السياسة.</w:t>
      </w:r>
    </w:p>
    <w:p w14:paraId="3CC66438" w14:textId="77777777" w:rsidR="00AD2B87" w:rsidRDefault="00AD2B87">
      <w:pPr>
        <w:pStyle w:val="BodyText"/>
        <w:spacing w:before="10"/>
        <w:ind w:firstLine="0"/>
        <w:rPr>
          <w:sz w:val="19"/>
        </w:rPr>
      </w:pPr>
    </w:p>
    <w:p w14:paraId="21FF8A78" w14:textId="77777777" w:rsidR="00AD2B87" w:rsidRDefault="00000000">
      <w:pPr>
        <w:pStyle w:val="BodyText"/>
        <w:bidi/>
        <w:spacing w:line="229" w:lineRule="exact"/>
        <w:ind w:left="1072" w:firstLine="0"/>
      </w:pPr>
      <w:r>
        <w:rPr>
          <w:rtl/>
          <w:lang w:bidi="ar"/>
        </w:rPr>
        <w:t>قد يتلقى الموظفون الآخرون تدريبًا خاصًا يعتمد على مهامهم الوظيفية، على سبيل المثال:</w:t>
      </w:r>
    </w:p>
    <w:p w14:paraId="636FD411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spacing w:line="244" w:lineRule="exact"/>
        <w:ind w:left="1838" w:hanging="361"/>
        <w:rPr>
          <w:sz w:val="20"/>
        </w:rPr>
      </w:pPr>
      <w:r>
        <w:rPr>
          <w:sz w:val="20"/>
          <w:rtl/>
          <w:lang w:bidi="ar"/>
        </w:rPr>
        <w:t>إجراءات تكنولوجيا المعلومات لجميع مستخدمي الحاسوب</w:t>
      </w:r>
    </w:p>
    <w:p w14:paraId="54276C09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spacing w:before="2"/>
        <w:ind w:left="1838" w:hanging="361"/>
        <w:rPr>
          <w:sz w:val="20"/>
        </w:rPr>
      </w:pPr>
      <w:r>
        <w:rPr>
          <w:sz w:val="20"/>
          <w:rtl/>
          <w:lang w:bidi="ar"/>
        </w:rPr>
        <w:t>مراقبة الغوالق، والفحص، وفحص الحاويات/المقطورات لموظفي رصيف الشحن</w:t>
      </w:r>
    </w:p>
    <w:p w14:paraId="076889A3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ind w:left="1838" w:hanging="361"/>
        <w:rPr>
          <w:sz w:val="20"/>
        </w:rPr>
      </w:pPr>
      <w:r>
        <w:rPr>
          <w:sz w:val="20"/>
          <w:rtl/>
          <w:lang w:bidi="ar"/>
        </w:rPr>
        <w:t>تتبع ورصد المرسلين، والمديرين، والموظفين المعنيين الآخرين</w:t>
      </w:r>
    </w:p>
    <w:p w14:paraId="5074E910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ind w:left="1838" w:hanging="361"/>
        <w:rPr>
          <w:sz w:val="20"/>
        </w:rPr>
      </w:pPr>
      <w:r>
        <w:rPr>
          <w:sz w:val="20"/>
          <w:rtl/>
          <w:lang w:bidi="ar"/>
        </w:rPr>
        <w:t>إعداد المستندات، ومراجعتها، وتقديمها</w:t>
      </w:r>
    </w:p>
    <w:p w14:paraId="301DE327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spacing w:line="244" w:lineRule="exact"/>
        <w:ind w:left="1838" w:hanging="361"/>
        <w:rPr>
          <w:sz w:val="20"/>
        </w:rPr>
      </w:pPr>
      <w:r>
        <w:rPr>
          <w:sz w:val="20"/>
          <w:rtl/>
          <w:lang w:bidi="ar"/>
        </w:rPr>
        <w:t>مؤشرات الشحن المشبوهة</w:t>
      </w:r>
    </w:p>
    <w:p w14:paraId="05A02EEE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spacing w:line="244" w:lineRule="exact"/>
        <w:ind w:left="1838" w:hanging="361"/>
        <w:rPr>
          <w:sz w:val="20"/>
        </w:rPr>
      </w:pPr>
      <w:r>
        <w:rPr>
          <w:sz w:val="20"/>
          <w:rtl/>
          <w:lang w:bidi="ar"/>
        </w:rPr>
        <w:t>الطرود المشبوهة</w:t>
      </w:r>
    </w:p>
    <w:p w14:paraId="6D35192E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ind w:left="1838" w:hanging="361"/>
        <w:rPr>
          <w:sz w:val="20"/>
        </w:rPr>
      </w:pPr>
      <w:r>
        <w:rPr>
          <w:sz w:val="20"/>
          <w:rtl/>
          <w:lang w:bidi="ar"/>
        </w:rPr>
        <w:t>التدريب على أنظمة الإنذار</w:t>
      </w:r>
    </w:p>
    <w:p w14:paraId="2913E6CF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spacing w:line="240" w:lineRule="auto"/>
        <w:ind w:left="1838" w:hanging="361"/>
        <w:rPr>
          <w:sz w:val="20"/>
        </w:rPr>
      </w:pPr>
      <w:r>
        <w:rPr>
          <w:sz w:val="20"/>
          <w:rtl/>
          <w:lang w:bidi="ar"/>
        </w:rPr>
        <w:t>إجراءات الفحص الأمني</w:t>
      </w:r>
    </w:p>
    <w:p w14:paraId="7B8A58A8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spacing w:before="1"/>
        <w:ind w:left="1838" w:hanging="361"/>
        <w:rPr>
          <w:sz w:val="20"/>
        </w:rPr>
      </w:pPr>
      <w:r>
        <w:rPr>
          <w:sz w:val="20"/>
          <w:rtl/>
          <w:lang w:bidi="ar"/>
        </w:rPr>
        <w:t>إعادة الفحص الدوري</w:t>
      </w:r>
    </w:p>
    <w:p w14:paraId="05780D7C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spacing w:line="242" w:lineRule="exact"/>
        <w:ind w:left="1838" w:hanging="361"/>
        <w:rPr>
          <w:sz w:val="20"/>
        </w:rPr>
      </w:pPr>
      <w:r>
        <w:rPr>
          <w:sz w:val="20"/>
          <w:rtl/>
          <w:lang w:bidi="ar"/>
        </w:rPr>
        <w:t>إجراء تقييمات المخاطر</w:t>
      </w:r>
    </w:p>
    <w:p w14:paraId="69AA099D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spacing w:line="243" w:lineRule="exact"/>
        <w:ind w:left="1838" w:hanging="361"/>
        <w:rPr>
          <w:sz w:val="20"/>
        </w:rPr>
      </w:pPr>
      <w:r>
        <w:rPr>
          <w:sz w:val="20"/>
          <w:rtl/>
          <w:lang w:bidi="ar"/>
        </w:rPr>
        <w:t>إجراء فحص شركاء الأعمال</w:t>
      </w:r>
    </w:p>
    <w:p w14:paraId="3B3FB563" w14:textId="77777777" w:rsidR="00AD2B87" w:rsidRDefault="00000000">
      <w:pPr>
        <w:pStyle w:val="ListParagraph"/>
        <w:numPr>
          <w:ilvl w:val="0"/>
          <w:numId w:val="1"/>
        </w:numPr>
        <w:tabs>
          <w:tab w:val="left" w:pos="1838"/>
          <w:tab w:val="left" w:pos="1839"/>
        </w:tabs>
        <w:bidi/>
        <w:spacing w:before="2" w:line="240" w:lineRule="auto"/>
        <w:ind w:left="1838" w:hanging="361"/>
        <w:rPr>
          <w:sz w:val="20"/>
        </w:rPr>
      </w:pPr>
      <w:r>
        <w:rPr>
          <w:sz w:val="20"/>
          <w:rtl/>
          <w:lang w:bidi="ar"/>
        </w:rPr>
        <w:t>كيفية إجراء عمليات التحقق الأمني أثناء زيارات الموقع لشركاء الأعمال</w:t>
      </w:r>
    </w:p>
    <w:p w14:paraId="161E5947" w14:textId="77777777" w:rsidR="00AD2B87" w:rsidRDefault="00AD2B87">
      <w:pPr>
        <w:pStyle w:val="BodyText"/>
        <w:ind w:firstLine="0"/>
      </w:pPr>
    </w:p>
    <w:p w14:paraId="2553C91E" w14:textId="77777777" w:rsidR="00AD2B87" w:rsidRDefault="00AD2B87">
      <w:pPr>
        <w:pStyle w:val="BodyText"/>
        <w:spacing w:before="9"/>
        <w:ind w:firstLine="0"/>
      </w:pPr>
    </w:p>
    <w:p w14:paraId="1A5752F3" w14:textId="77777777" w:rsidR="00AD2B87" w:rsidRDefault="00000000">
      <w:pPr>
        <w:bidi/>
        <w:spacing w:line="237" w:lineRule="auto"/>
        <w:ind w:left="1072" w:right="1036"/>
        <w:rPr>
          <w:sz w:val="18"/>
        </w:rPr>
      </w:pPr>
      <w:r>
        <w:rPr>
          <w:sz w:val="18"/>
          <w:rtl/>
          <w:lang w:bidi="ar"/>
        </w:rPr>
        <w:t xml:space="preserve">حيث إن </w:t>
      </w:r>
      <w:r>
        <w:rPr>
          <w:sz w:val="18"/>
        </w:rPr>
        <w:t>SEKO</w:t>
      </w:r>
      <w:r>
        <w:rPr>
          <w:sz w:val="18"/>
          <w:rtl/>
          <w:lang w:bidi="ar"/>
        </w:rPr>
        <w:t xml:space="preserve"> مشاركة في الشراكة الجمركية والتجارية لمكافحة الإرهاب، فإنها تزود حماية الحدود والجمارك بالمعلومات الأمنية المنطبقة عبر بوابة الشراكة الجمركية والتجارية لمكافحة الإرهاب. تراقب </w:t>
      </w:r>
      <w:r>
        <w:rPr>
          <w:sz w:val="18"/>
        </w:rPr>
        <w:t>SEKO</w:t>
      </w:r>
      <w:r>
        <w:rPr>
          <w:sz w:val="18"/>
          <w:rtl/>
          <w:lang w:bidi="ar"/>
        </w:rPr>
        <w:t xml:space="preserve"> شركائها التجاريين الذين هم أيضًا أعضاء في الشراكة الجمركية والتجارية لمكافحة الإرهاب من خلال بوابة الشراكة الجمركية والتجارية لمكافحة الإرهاب وتخضع للمراقبة منهم.</w:t>
      </w:r>
    </w:p>
    <w:p w14:paraId="2315FFF5" w14:textId="77777777" w:rsidR="00AD2B87" w:rsidRDefault="00AD2B87">
      <w:pPr>
        <w:pStyle w:val="BodyText"/>
        <w:ind w:firstLine="0"/>
        <w:rPr>
          <w:sz w:val="18"/>
        </w:rPr>
      </w:pPr>
    </w:p>
    <w:p w14:paraId="1E091F04" w14:textId="77777777" w:rsidR="00AD2B87" w:rsidRDefault="00000000">
      <w:pPr>
        <w:bidi/>
        <w:spacing w:line="230" w:lineRule="auto"/>
        <w:ind w:left="2054" w:right="1036"/>
        <w:rPr>
          <w:sz w:val="18"/>
        </w:rPr>
      </w:pPr>
      <w:r>
        <w:rPr>
          <w:sz w:val="18"/>
          <w:rtl/>
          <w:lang w:bidi="ar"/>
        </w:rPr>
        <w:t xml:space="preserve">للحصول على معلومات حول الشراكة الجمركية والتجارية لمكافحة الإرهاب أو برامج أمن سلسلة الإمداد الأخرى التي تشارك فيها </w:t>
      </w:r>
      <w:r>
        <w:rPr>
          <w:sz w:val="18"/>
        </w:rPr>
        <w:t>SEKO</w:t>
      </w:r>
      <w:r>
        <w:rPr>
          <w:sz w:val="18"/>
          <w:rtl/>
          <w:lang w:bidi="ar"/>
        </w:rPr>
        <w:t>، تواصل عبر</w:t>
      </w:r>
      <w:hyperlink r:id="rId9">
        <w:r>
          <w:rPr>
            <w:color w:val="0000FF"/>
            <w:sz w:val="18"/>
          </w:rPr>
          <w:t>Compliance@sekologistics.com</w:t>
        </w:r>
      </w:hyperlink>
    </w:p>
    <w:p w14:paraId="5EF79B17" w14:textId="77777777" w:rsidR="00AD2B87" w:rsidRDefault="00AD2B87">
      <w:pPr>
        <w:pStyle w:val="BodyText"/>
        <w:ind w:firstLine="0"/>
      </w:pPr>
    </w:p>
    <w:p w14:paraId="5C05BBDD" w14:textId="77777777" w:rsidR="00AD2B87" w:rsidRDefault="00AD2B87">
      <w:pPr>
        <w:pStyle w:val="BodyText"/>
        <w:ind w:firstLine="0"/>
        <w:rPr>
          <w:sz w:val="18"/>
        </w:rPr>
      </w:pPr>
    </w:p>
    <w:p w14:paraId="6304E673" w14:textId="70C56A23" w:rsidR="00AD2B87" w:rsidRDefault="00595477">
      <w:pPr>
        <w:bidi/>
        <w:spacing w:line="230" w:lineRule="auto"/>
        <w:ind w:left="508" w:right="6178"/>
        <w:rPr>
          <w:rFonts w:ascii="Arial"/>
          <w:sz w:val="14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C97ABC6" wp14:editId="2B2A057A">
            <wp:simplePos x="0" y="0"/>
            <wp:positionH relativeFrom="page">
              <wp:posOffset>1102360</wp:posOffset>
            </wp:positionH>
            <wp:positionV relativeFrom="paragraph">
              <wp:posOffset>5715</wp:posOffset>
            </wp:positionV>
            <wp:extent cx="439420" cy="3155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800" behindDoc="0" locked="0" layoutInCell="1" allowOverlap="1" wp14:anchorId="6C07DBB7" wp14:editId="2ADD6AF9">
            <wp:simplePos x="0" y="0"/>
            <wp:positionH relativeFrom="page">
              <wp:posOffset>374650</wp:posOffset>
            </wp:positionH>
            <wp:positionV relativeFrom="paragraph">
              <wp:posOffset>4445</wp:posOffset>
            </wp:positionV>
            <wp:extent cx="478789" cy="2705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/>
          <w:sz w:val="14"/>
        </w:rPr>
        <w:t>SEKO Logistics, 1501 East Woodfield Road, Suite 210E, Schaumburg, IL 60173| USA</w:t>
      </w:r>
    </w:p>
    <w:p w14:paraId="4E09A976" w14:textId="49477A66" w:rsidR="00AD2B87" w:rsidRDefault="00000000">
      <w:pPr>
        <w:bidi/>
        <w:spacing w:before="23"/>
        <w:ind w:left="508"/>
        <w:rPr>
          <w:rFonts w:ascii="Arial"/>
          <w:sz w:val="14"/>
        </w:rPr>
      </w:pPr>
      <w:hyperlink r:id="rId12">
        <w:r>
          <w:rPr>
            <w:rFonts w:ascii="Arial" w:hAnsi="Arial"/>
            <w:sz w:val="14"/>
            <w:rtl/>
            <w:lang w:bidi="ar"/>
          </w:rPr>
          <w:t xml:space="preserve">البريد الإلكتروني: </w:t>
        </w:r>
        <w:r>
          <w:rPr>
            <w:rFonts w:ascii="Arial" w:hAnsi="Arial"/>
            <w:sz w:val="14"/>
          </w:rPr>
          <w:t>hello@sekologistics.c</w:t>
        </w:r>
      </w:hyperlink>
      <w:r>
        <w:rPr>
          <w:rFonts w:ascii="Arial" w:hAnsi="Arial"/>
          <w:sz w:val="14"/>
        </w:rPr>
        <w:t>om</w:t>
      </w:r>
      <w:r>
        <w:rPr>
          <w:rFonts w:ascii="Arial" w:hAnsi="Arial"/>
          <w:sz w:val="14"/>
          <w:rtl/>
          <w:lang w:bidi="ar"/>
        </w:rPr>
        <w:t xml:space="preserve"> الرقم المجاني: +1 800 228 2711 الهاتف: +1 630 919 4800</w:t>
      </w:r>
    </w:p>
    <w:p w14:paraId="63B6EBFB" w14:textId="77777777" w:rsidR="00AD2B87" w:rsidRDefault="00000000">
      <w:pPr>
        <w:pStyle w:val="BodyText"/>
        <w:bidi/>
        <w:spacing w:before="10"/>
        <w:ind w:firstLine="0"/>
        <w:rPr>
          <w:rFonts w:ascii="Arial"/>
          <w:sz w:val="5"/>
        </w:rPr>
      </w:pPr>
      <w:r>
        <w:pict w14:anchorId="7D47F3DA">
          <v:rect id="docshape1" o:spid="_x0000_s2050" style="position:absolute;left:0;text-align:left;margin-left:28.45pt;margin-top:4.55pt;width:86.8pt;height:.6pt;z-index:-251657216;mso-wrap-distance-left:0;mso-wrap-distance-right:0;mso-position-horizontal-relative:page" fillcolor="blue" stroked="f">
            <w10:wrap type="topAndBottom" anchorx="page"/>
          </v:rect>
        </w:pict>
      </w:r>
    </w:p>
    <w:p w14:paraId="7B87ED66" w14:textId="77777777" w:rsidR="00AD2B87" w:rsidRDefault="00000000">
      <w:pPr>
        <w:bidi/>
        <w:ind w:left="508"/>
        <w:rPr>
          <w:rFonts w:ascii="Cambria"/>
          <w:b/>
          <w:sz w:val="16"/>
        </w:rPr>
      </w:pPr>
      <w:hyperlink r:id="rId13">
        <w:r>
          <w:rPr>
            <w:rFonts w:ascii="Cambria" w:hAnsi="Cambria"/>
            <w:b/>
            <w:bCs/>
            <w:color w:val="0000FF"/>
            <w:sz w:val="16"/>
          </w:rPr>
          <w:t>www.sekologistics.com</w:t>
        </w:r>
      </w:hyperlink>
    </w:p>
    <w:sectPr w:rsidR="00AD2B87">
      <w:type w:val="continuous"/>
      <w:pgSz w:w="12240" w:h="15840"/>
      <w:pgMar w:top="460" w:right="2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CB4E" w14:textId="77777777" w:rsidR="002B22EB" w:rsidRDefault="002B22EB" w:rsidP="00DB7D07">
      <w:pPr>
        <w:bidi/>
      </w:pPr>
      <w:r>
        <w:separator/>
      </w:r>
    </w:p>
  </w:endnote>
  <w:endnote w:type="continuationSeparator" w:id="0">
    <w:p w14:paraId="0FADAB70" w14:textId="77777777" w:rsidR="002B22EB" w:rsidRDefault="002B22EB" w:rsidP="00DB7D07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C73C" w14:textId="77777777" w:rsidR="002B22EB" w:rsidRDefault="002B22EB" w:rsidP="00DB7D07">
      <w:pPr>
        <w:bidi/>
      </w:pPr>
      <w:r>
        <w:separator/>
      </w:r>
    </w:p>
  </w:footnote>
  <w:footnote w:type="continuationSeparator" w:id="0">
    <w:p w14:paraId="12E0FC62" w14:textId="77777777" w:rsidR="002B22EB" w:rsidRDefault="002B22EB" w:rsidP="00DB7D07">
      <w:pPr>
        <w:bidi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5515"/>
    <w:multiLevelType w:val="hybridMultilevel"/>
    <w:tmpl w:val="81BC852C"/>
    <w:lvl w:ilvl="0" w:tplc="8E10620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77C690C">
      <w:numFmt w:val="bullet"/>
      <w:lvlText w:val="o"/>
      <w:lvlJc w:val="left"/>
      <w:pPr>
        <w:ind w:left="25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FACF38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1604086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94BEDE7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8882894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6" w:tplc="F7A407B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7" w:tplc="42368CD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B532C802">
      <w:numFmt w:val="bullet"/>
      <w:lvlText w:val="•"/>
      <w:lvlJc w:val="left"/>
      <w:pPr>
        <w:ind w:left="9831" w:hanging="360"/>
      </w:pPr>
      <w:rPr>
        <w:rFonts w:hint="default"/>
        <w:lang w:val="en-US" w:eastAsia="en-US" w:bidi="ar-SA"/>
      </w:rPr>
    </w:lvl>
  </w:abstractNum>
  <w:num w:numId="1" w16cid:durableId="202370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B87"/>
    <w:rsid w:val="002B22EB"/>
    <w:rsid w:val="00595477"/>
    <w:rsid w:val="00967BD6"/>
    <w:rsid w:val="00AD2B87"/>
    <w:rsid w:val="00C13670"/>
    <w:rsid w:val="00D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D1F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3614" w:right="2038" w:hanging="6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ekologistic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ko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mpliance@sekologistic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2023-08-30T01:09:00Z</dcterms:created>
  <dcterms:modified xsi:type="dcterms:W3CDTF">2023-09-03T11:11:00Z</dcterms:modified>
</cp:coreProperties>
</file>