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A58" w14:textId="77777777" w:rsidR="00AD2B87" w:rsidRDefault="00000000">
      <w:pPr>
        <w:pStyle w:val="Corpodetexto"/>
        <w:ind w:left="115" w:firstLine="0"/>
      </w:pPr>
      <w:r>
        <w:rPr>
          <w:noProof/>
          <w:lang w:val="pt-BR"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B1FD" w14:textId="77777777" w:rsidR="00AD2B87" w:rsidRDefault="00AD2B87" w:rsidP="00C13670">
      <w:pPr>
        <w:pStyle w:val="Corpodetexto"/>
        <w:spacing w:after="240"/>
        <w:ind w:firstLine="0"/>
      </w:pPr>
    </w:p>
    <w:p w14:paraId="4127BAAA" w14:textId="7CBA626E" w:rsidR="00AD2B87" w:rsidRPr="00963841" w:rsidRDefault="00000000">
      <w:pPr>
        <w:pStyle w:val="Ttulo"/>
        <w:rPr>
          <w:lang w:val="pt-BR"/>
        </w:rPr>
      </w:pPr>
      <w:r>
        <w:rPr>
          <w:b w:val="0"/>
          <w:bCs w:val="0"/>
          <w:noProof/>
          <w:lang w:val="pt-BR"/>
        </w:rPr>
        <w:drawing>
          <wp:anchor distT="0" distB="0" distL="0" distR="0" simplePos="0" relativeHeight="251657728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/>
        </w:rPr>
        <w:t>Política de Treinamento de Segurança e Conscientização de Ameaças da SEKO Worldwide LLC e da SEKO Customs Brokerage Inc</w:t>
      </w:r>
    </w:p>
    <w:p w14:paraId="67CB93F2" w14:textId="77777777" w:rsidR="00AD2B87" w:rsidRPr="00963841" w:rsidRDefault="00AD2B87" w:rsidP="00C13670">
      <w:pPr>
        <w:pStyle w:val="Corpodetexto"/>
        <w:spacing w:before="4" w:after="240"/>
        <w:ind w:firstLine="0"/>
        <w:rPr>
          <w:b/>
          <w:sz w:val="19"/>
          <w:lang w:val="pt-BR"/>
        </w:rPr>
      </w:pPr>
    </w:p>
    <w:p w14:paraId="07F79D2F" w14:textId="7A0D9002" w:rsidR="00AD2B87" w:rsidRPr="00963841" w:rsidRDefault="00000000">
      <w:pPr>
        <w:pStyle w:val="Corpodetexto"/>
        <w:ind w:left="1072" w:right="1036" w:firstLine="42"/>
        <w:rPr>
          <w:lang w:val="pt-BR"/>
        </w:rPr>
      </w:pPr>
      <w:r>
        <w:rPr>
          <w:lang w:val="pt-BR"/>
        </w:rPr>
        <w:t>A SEKO é participante da Parceria Aduaneira e Comercial Contra o Terrorismo (CTPAT) e é responsável pela implementação, revisão anual e aplicação consistente desta política. Todo treinamento será documentado no Sistema de Gestão de Aprendizagem (LMS) da SEKO. O treinamento de atualização será realizado pelo menos uma vez por ano, ou à medida que os procedimentos e as ameaças à segurança mudarem.</w:t>
      </w:r>
    </w:p>
    <w:p w14:paraId="12D81DC5" w14:textId="77777777" w:rsidR="00AD2B87" w:rsidRPr="00963841" w:rsidRDefault="00AD2B87" w:rsidP="00C13670">
      <w:pPr>
        <w:pStyle w:val="Corpodetexto"/>
        <w:spacing w:before="9" w:after="240"/>
        <w:ind w:firstLine="0"/>
        <w:rPr>
          <w:sz w:val="19"/>
          <w:lang w:val="pt-BR"/>
        </w:rPr>
      </w:pPr>
    </w:p>
    <w:p w14:paraId="07FABD7A" w14:textId="77777777" w:rsidR="00AD2B87" w:rsidRPr="00963841" w:rsidRDefault="00000000">
      <w:pPr>
        <w:pStyle w:val="Corpodetexto"/>
        <w:ind w:left="1072" w:firstLine="0"/>
        <w:rPr>
          <w:lang w:val="pt-BR"/>
        </w:rPr>
      </w:pPr>
      <w:r>
        <w:rPr>
          <w:lang w:val="pt-BR"/>
        </w:rPr>
        <w:t>Todos os colaboradores receberão treinamento sobre os seguintes temas:</w:t>
      </w:r>
    </w:p>
    <w:p w14:paraId="3943998F" w14:textId="77777777" w:rsidR="00AD2B87" w:rsidRPr="00963841" w:rsidRDefault="00AD2B87">
      <w:pPr>
        <w:pStyle w:val="Corpodetexto"/>
        <w:spacing w:before="10"/>
        <w:ind w:firstLine="0"/>
        <w:rPr>
          <w:sz w:val="19"/>
          <w:lang w:val="pt-BR"/>
        </w:rPr>
      </w:pPr>
    </w:p>
    <w:p w14:paraId="7166CB2D" w14:textId="2D606985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  <w:lang w:val="pt-BR"/>
        </w:rPr>
      </w:pPr>
      <w:r>
        <w:rPr>
          <w:sz w:val="20"/>
          <w:lang w:val="pt-BR"/>
        </w:rPr>
        <w:t>O programa CTPAT — finalidade, objetivos e a intenção dos critérios mínimos de segurança</w:t>
      </w:r>
    </w:p>
    <w:p w14:paraId="0F8D8173" w14:textId="66BCEBA8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line="244" w:lineRule="exact"/>
        <w:ind w:hanging="361"/>
        <w:rPr>
          <w:sz w:val="20"/>
          <w:lang w:val="pt-BR"/>
        </w:rPr>
      </w:pPr>
      <w:r>
        <w:rPr>
          <w:sz w:val="20"/>
          <w:lang w:val="pt-BR"/>
        </w:rPr>
        <w:t>Acordos de Reconhecimento Mútuo e outros programas governamentais (programas AEO, PIP etc.)</w:t>
      </w:r>
    </w:p>
    <w:p w14:paraId="42ABD53F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before="2"/>
        <w:ind w:hanging="361"/>
        <w:rPr>
          <w:sz w:val="20"/>
          <w:lang w:val="pt-BR"/>
        </w:rPr>
      </w:pPr>
      <w:r>
        <w:rPr>
          <w:sz w:val="20"/>
          <w:lang w:val="pt-BR"/>
        </w:rPr>
        <w:t>Questões específicas da empresa que se aplicam ao CTPAT</w:t>
      </w:r>
    </w:p>
    <w:p w14:paraId="55209BC4" w14:textId="0726D968" w:rsidR="00AD2B87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line="240" w:lineRule="auto"/>
        <w:ind w:hanging="361"/>
        <w:rPr>
          <w:sz w:val="20"/>
        </w:rPr>
      </w:pPr>
      <w:r>
        <w:rPr>
          <w:sz w:val="20"/>
          <w:lang w:val="pt-BR"/>
        </w:rPr>
        <w:t>Controles de acesso</w:t>
      </w:r>
    </w:p>
    <w:p w14:paraId="5F048BC9" w14:textId="0D48636D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before="14" w:line="239" w:lineRule="exact"/>
        <w:ind w:hanging="361"/>
        <w:rPr>
          <w:sz w:val="20"/>
        </w:rPr>
      </w:pPr>
      <w:r>
        <w:rPr>
          <w:sz w:val="20"/>
          <w:lang w:val="pt-BR"/>
        </w:rPr>
        <w:t>Controles de dispositivo de acesso</w:t>
      </w:r>
    </w:p>
    <w:p w14:paraId="4C739934" w14:textId="2D1AF80F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pt-BR"/>
        </w:rPr>
        <w:t>Procedimentos para visitantes</w:t>
      </w:r>
    </w:p>
    <w:p w14:paraId="09C92B0C" w14:textId="77777777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23" w:lineRule="exact"/>
        <w:ind w:hanging="361"/>
        <w:rPr>
          <w:sz w:val="20"/>
        </w:rPr>
      </w:pPr>
      <w:r>
        <w:rPr>
          <w:sz w:val="20"/>
          <w:lang w:val="pt-BR"/>
        </w:rPr>
        <w:t>Procedimentos de escolta</w:t>
      </w:r>
    </w:p>
    <w:p w14:paraId="058525F5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line="230" w:lineRule="exact"/>
        <w:ind w:hanging="361"/>
        <w:rPr>
          <w:sz w:val="20"/>
          <w:lang w:val="pt-BR"/>
        </w:rPr>
      </w:pPr>
      <w:r>
        <w:rPr>
          <w:sz w:val="20"/>
          <w:lang w:val="pt-BR"/>
        </w:rPr>
        <w:t>Pessoas desafiadoras que parecem não autorizadas</w:t>
      </w:r>
    </w:p>
    <w:p w14:paraId="600DDD20" w14:textId="04D4607F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ind w:hanging="361"/>
        <w:rPr>
          <w:sz w:val="20"/>
          <w:lang w:val="pt-BR"/>
        </w:rPr>
      </w:pPr>
      <w:r>
        <w:rPr>
          <w:sz w:val="20"/>
          <w:lang w:val="pt-BR"/>
        </w:rPr>
        <w:t>Relato de incidentes/Preocupações de segurança</w:t>
      </w:r>
    </w:p>
    <w:p w14:paraId="0EE90C83" w14:textId="5F12BE77" w:rsidR="00AD2B87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line="242" w:lineRule="exact"/>
        <w:ind w:hanging="361"/>
        <w:rPr>
          <w:sz w:val="20"/>
        </w:rPr>
      </w:pPr>
      <w:r>
        <w:rPr>
          <w:sz w:val="20"/>
          <w:lang w:val="pt-BR"/>
        </w:rPr>
        <w:t>Conspirações internas</w:t>
      </w:r>
    </w:p>
    <w:p w14:paraId="1D91C90C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793"/>
          <w:tab w:val="left" w:pos="1794"/>
        </w:tabs>
        <w:spacing w:line="243" w:lineRule="exact"/>
        <w:ind w:hanging="361"/>
        <w:rPr>
          <w:sz w:val="20"/>
        </w:rPr>
      </w:pPr>
      <w:r>
        <w:rPr>
          <w:sz w:val="20"/>
          <w:lang w:val="pt-BR"/>
        </w:rPr>
        <w:t>Segurança física</w:t>
      </w:r>
    </w:p>
    <w:p w14:paraId="7CDA8176" w14:textId="77777777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before="17" w:line="239" w:lineRule="exact"/>
        <w:ind w:hanging="361"/>
        <w:rPr>
          <w:sz w:val="20"/>
        </w:rPr>
      </w:pPr>
      <w:r>
        <w:rPr>
          <w:sz w:val="20"/>
          <w:lang w:val="pt-BR"/>
        </w:rPr>
        <w:t>Estacionamento</w:t>
      </w:r>
    </w:p>
    <w:p w14:paraId="65A57D3B" w14:textId="6D21D762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pt-BR"/>
        </w:rPr>
        <w:t>Cercamento</w:t>
      </w:r>
    </w:p>
    <w:p w14:paraId="18C239E5" w14:textId="77777777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pt-BR"/>
        </w:rPr>
        <w:t>Iluminação</w:t>
      </w:r>
    </w:p>
    <w:p w14:paraId="6E33CA86" w14:textId="77777777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30" w:lineRule="exact"/>
        <w:ind w:hanging="361"/>
        <w:rPr>
          <w:sz w:val="20"/>
        </w:rPr>
      </w:pPr>
      <w:r>
        <w:rPr>
          <w:sz w:val="20"/>
          <w:lang w:val="pt-BR"/>
        </w:rPr>
        <w:t>Estrutura do edifício</w:t>
      </w:r>
    </w:p>
    <w:p w14:paraId="53ED69B2" w14:textId="4650C9FB" w:rsidR="00AD2B87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29" w:lineRule="exact"/>
        <w:ind w:hanging="361"/>
        <w:rPr>
          <w:sz w:val="20"/>
        </w:rPr>
      </w:pPr>
      <w:r>
        <w:rPr>
          <w:sz w:val="20"/>
          <w:lang w:val="pt-BR"/>
        </w:rPr>
        <w:t>Portões e portarias</w:t>
      </w:r>
    </w:p>
    <w:p w14:paraId="55FCA49C" w14:textId="246173EF" w:rsidR="00AD2B87" w:rsidRPr="00963841" w:rsidRDefault="00000000">
      <w:pPr>
        <w:pStyle w:val="PargrafodaLista"/>
        <w:numPr>
          <w:ilvl w:val="1"/>
          <w:numId w:val="1"/>
        </w:numPr>
        <w:tabs>
          <w:tab w:val="left" w:pos="2514"/>
        </w:tabs>
        <w:spacing w:line="238" w:lineRule="exact"/>
        <w:ind w:hanging="361"/>
        <w:rPr>
          <w:sz w:val="20"/>
          <w:lang w:val="pt-BR"/>
        </w:rPr>
      </w:pPr>
      <w:r>
        <w:rPr>
          <w:sz w:val="20"/>
          <w:lang w:val="pt-BR"/>
        </w:rPr>
        <w:t>Dispositivos de bloqueio e controles principais/sistemas de alarme e monitoramento em vídeo</w:t>
      </w:r>
    </w:p>
    <w:p w14:paraId="5843D16F" w14:textId="77777777" w:rsidR="00AD2B87" w:rsidRPr="00963841" w:rsidRDefault="00000000">
      <w:pPr>
        <w:pStyle w:val="Corpodetexto"/>
        <w:spacing w:before="195"/>
        <w:ind w:left="1072" w:right="1036" w:firstLine="0"/>
        <w:rPr>
          <w:lang w:val="pt-BR"/>
        </w:rPr>
      </w:pPr>
      <w:r>
        <w:rPr>
          <w:lang w:val="pt-BR"/>
        </w:rPr>
        <w:t>Todos os funcionários receberão treinamento sobre os tópicos acima como parte do processo de contratação e treinamento contínuo à medida que as políticas mudarem.</w:t>
      </w:r>
    </w:p>
    <w:p w14:paraId="3CC66438" w14:textId="77777777" w:rsidR="00AD2B87" w:rsidRPr="00963841" w:rsidRDefault="00AD2B87">
      <w:pPr>
        <w:pStyle w:val="Corpodetexto"/>
        <w:spacing w:before="10"/>
        <w:ind w:firstLine="0"/>
        <w:rPr>
          <w:sz w:val="19"/>
          <w:lang w:val="pt-BR"/>
        </w:rPr>
      </w:pPr>
    </w:p>
    <w:p w14:paraId="21FF8A78" w14:textId="77777777" w:rsidR="00AD2B87" w:rsidRPr="00963841" w:rsidRDefault="00000000">
      <w:pPr>
        <w:pStyle w:val="Corpodetexto"/>
        <w:spacing w:line="229" w:lineRule="exact"/>
        <w:ind w:left="1072" w:firstLine="0"/>
        <w:rPr>
          <w:lang w:val="pt-BR"/>
        </w:rPr>
      </w:pPr>
      <w:r>
        <w:rPr>
          <w:lang w:val="pt-BR"/>
        </w:rPr>
        <w:t>Outros funcionários podem receber treinamento especial dependendo de suas atribuições de trabalho, por exemplo:</w:t>
      </w:r>
    </w:p>
    <w:p w14:paraId="636FD411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  <w:lang w:val="pt-BR"/>
        </w:rPr>
      </w:pPr>
      <w:r>
        <w:rPr>
          <w:sz w:val="20"/>
          <w:lang w:val="pt-BR"/>
        </w:rPr>
        <w:t>Procedimento de Tecnologia da Informação para todos os usuários de computador</w:t>
      </w:r>
    </w:p>
    <w:p w14:paraId="54276C09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before="2"/>
        <w:ind w:left="1838" w:hanging="361"/>
        <w:rPr>
          <w:sz w:val="20"/>
          <w:lang w:val="pt-BR"/>
        </w:rPr>
      </w:pPr>
      <w:r>
        <w:rPr>
          <w:sz w:val="20"/>
          <w:lang w:val="pt-BR"/>
        </w:rPr>
        <w:t>Controles de vedação e inspeção e inspeção de contêiner/reboque para o pessoal da doca de carga</w:t>
      </w:r>
    </w:p>
    <w:p w14:paraId="076889A3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  <w:lang w:val="pt-BR"/>
        </w:rPr>
      </w:pPr>
      <w:r>
        <w:rPr>
          <w:sz w:val="20"/>
          <w:lang w:val="pt-BR"/>
        </w:rPr>
        <w:t>Rastreamento e monitoramento para despachantes, gerentes e outro pessoal apropriado</w:t>
      </w:r>
    </w:p>
    <w:p w14:paraId="5074E910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  <w:lang w:val="pt-BR"/>
        </w:rPr>
      </w:pPr>
      <w:r>
        <w:rPr>
          <w:sz w:val="20"/>
          <w:lang w:val="pt-BR"/>
        </w:rPr>
        <w:t>Preparação, revisão e envio de documentos</w:t>
      </w:r>
    </w:p>
    <w:p w14:paraId="301DE327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val="pt-BR"/>
        </w:rPr>
        <w:t>Indicadores de envio suspeito</w:t>
      </w:r>
    </w:p>
    <w:p w14:paraId="05A02EEE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line="244" w:lineRule="exact"/>
        <w:ind w:left="1838" w:hanging="361"/>
        <w:rPr>
          <w:sz w:val="20"/>
        </w:rPr>
      </w:pPr>
      <w:r>
        <w:rPr>
          <w:sz w:val="20"/>
          <w:lang w:val="pt-BR"/>
        </w:rPr>
        <w:t>Pacotes suspeitos</w:t>
      </w:r>
    </w:p>
    <w:p w14:paraId="6D35192E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ind w:left="1838" w:hanging="361"/>
        <w:rPr>
          <w:sz w:val="20"/>
        </w:rPr>
      </w:pPr>
      <w:r>
        <w:rPr>
          <w:sz w:val="20"/>
          <w:lang w:val="pt-BR"/>
        </w:rPr>
        <w:t>Treinamento de sistemas de alarme</w:t>
      </w:r>
    </w:p>
    <w:p w14:paraId="2913E6CF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line="240" w:lineRule="auto"/>
        <w:ind w:left="1838" w:hanging="361"/>
        <w:rPr>
          <w:sz w:val="20"/>
        </w:rPr>
      </w:pPr>
      <w:r>
        <w:rPr>
          <w:sz w:val="20"/>
          <w:lang w:val="pt-BR"/>
        </w:rPr>
        <w:t>Procedimentos de triagem de segurança</w:t>
      </w:r>
    </w:p>
    <w:p w14:paraId="7B8A58A8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before="1"/>
        <w:ind w:left="1838" w:hanging="361"/>
        <w:rPr>
          <w:sz w:val="20"/>
        </w:rPr>
      </w:pPr>
      <w:r>
        <w:rPr>
          <w:sz w:val="20"/>
          <w:lang w:val="pt-BR"/>
        </w:rPr>
        <w:t>Reavaliação periódica</w:t>
      </w:r>
    </w:p>
    <w:p w14:paraId="05780D7C" w14:textId="77777777" w:rsidR="00AD2B87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line="242" w:lineRule="exact"/>
        <w:ind w:left="1838" w:hanging="361"/>
        <w:rPr>
          <w:sz w:val="20"/>
        </w:rPr>
      </w:pPr>
      <w:r>
        <w:rPr>
          <w:sz w:val="20"/>
          <w:lang w:val="pt-BR"/>
        </w:rPr>
        <w:t>Realização de avaliações de risco</w:t>
      </w:r>
    </w:p>
    <w:p w14:paraId="69AA099D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line="243" w:lineRule="exact"/>
        <w:ind w:left="1838" w:hanging="361"/>
        <w:rPr>
          <w:sz w:val="20"/>
          <w:lang w:val="pt-BR"/>
        </w:rPr>
      </w:pPr>
      <w:r>
        <w:rPr>
          <w:sz w:val="20"/>
          <w:lang w:val="pt-BR"/>
        </w:rPr>
        <w:t>Realização de triagem de parceiros de negócios</w:t>
      </w:r>
    </w:p>
    <w:p w14:paraId="3B3FB563" w14:textId="77777777" w:rsidR="00AD2B87" w:rsidRPr="00963841" w:rsidRDefault="00000000">
      <w:pPr>
        <w:pStyle w:val="PargrafodaLista"/>
        <w:numPr>
          <w:ilvl w:val="0"/>
          <w:numId w:val="1"/>
        </w:numPr>
        <w:tabs>
          <w:tab w:val="left" w:pos="1838"/>
          <w:tab w:val="left" w:pos="1839"/>
        </w:tabs>
        <w:spacing w:before="2" w:line="240" w:lineRule="auto"/>
        <w:ind w:left="1838" w:hanging="361"/>
        <w:rPr>
          <w:sz w:val="20"/>
          <w:lang w:val="pt-BR"/>
        </w:rPr>
      </w:pPr>
      <w:r>
        <w:rPr>
          <w:sz w:val="20"/>
          <w:lang w:val="pt-BR"/>
        </w:rPr>
        <w:t>Como realizar verificações de segurança durante visitas às unidades dos parceiros de negócios</w:t>
      </w:r>
    </w:p>
    <w:p w14:paraId="161E5947" w14:textId="77777777" w:rsidR="00AD2B87" w:rsidRPr="00963841" w:rsidRDefault="00AD2B87">
      <w:pPr>
        <w:pStyle w:val="Corpodetexto"/>
        <w:ind w:firstLine="0"/>
        <w:rPr>
          <w:lang w:val="pt-BR"/>
        </w:rPr>
      </w:pPr>
    </w:p>
    <w:p w14:paraId="2553C91E" w14:textId="77777777" w:rsidR="00AD2B87" w:rsidRPr="00963841" w:rsidRDefault="00AD2B87">
      <w:pPr>
        <w:pStyle w:val="Corpodetexto"/>
        <w:spacing w:before="9"/>
        <w:ind w:firstLine="0"/>
        <w:rPr>
          <w:lang w:val="pt-BR"/>
        </w:rPr>
      </w:pPr>
    </w:p>
    <w:p w14:paraId="1A5752F3" w14:textId="77777777" w:rsidR="00AD2B87" w:rsidRPr="00963841" w:rsidRDefault="00000000">
      <w:pPr>
        <w:spacing w:line="237" w:lineRule="auto"/>
        <w:ind w:left="1072" w:right="1036"/>
        <w:rPr>
          <w:sz w:val="18"/>
          <w:lang w:val="pt-BR"/>
        </w:rPr>
      </w:pPr>
      <w:r>
        <w:rPr>
          <w:sz w:val="18"/>
          <w:lang w:val="pt-BR"/>
        </w:rPr>
        <w:t>Como participante do CTPAT, a SEKO fornece ao Serviço de Alfândega e Proteção de Fronteiras dos EUA (CBP) as informações de segurança aplicáveis por meio do Portal CTPAT. A SEKO monitora e é monitorada por seus parceiros de negócios que também são membros do CTPAT por meio do Portal CTPAT.</w:t>
      </w:r>
    </w:p>
    <w:p w14:paraId="2315FFF5" w14:textId="77777777" w:rsidR="00AD2B87" w:rsidRPr="00963841" w:rsidRDefault="00AD2B87">
      <w:pPr>
        <w:pStyle w:val="Corpodetexto"/>
        <w:ind w:firstLine="0"/>
        <w:rPr>
          <w:sz w:val="18"/>
          <w:lang w:val="pt-BR"/>
        </w:rPr>
      </w:pPr>
    </w:p>
    <w:p w14:paraId="1E091F04" w14:textId="77777777" w:rsidR="00AD2B87" w:rsidRPr="00963841" w:rsidRDefault="00000000">
      <w:pPr>
        <w:spacing w:line="230" w:lineRule="auto"/>
        <w:ind w:left="2054" w:right="1036"/>
        <w:rPr>
          <w:sz w:val="18"/>
          <w:lang w:val="pt-BR"/>
        </w:rPr>
      </w:pPr>
      <w:r>
        <w:rPr>
          <w:sz w:val="18"/>
          <w:lang w:val="pt-BR"/>
        </w:rPr>
        <w:t xml:space="preserve">Para obter informações sobre CTPAT ou outros programas de segurança da cadeia de suprimentos dos quais a SEKO participa, entre em contato com </w:t>
      </w:r>
      <w:hyperlink r:id="rId9">
        <w:r>
          <w:rPr>
            <w:color w:val="0000FF"/>
            <w:sz w:val="18"/>
            <w:lang w:val="pt-BR"/>
          </w:rPr>
          <w:t>Compliance@sekologistics.com</w:t>
        </w:r>
      </w:hyperlink>
    </w:p>
    <w:p w14:paraId="5EF79B17" w14:textId="77777777" w:rsidR="00AD2B87" w:rsidRPr="00963841" w:rsidRDefault="00AD2B87">
      <w:pPr>
        <w:pStyle w:val="Corpodetexto"/>
        <w:ind w:firstLine="0"/>
        <w:rPr>
          <w:lang w:val="pt-BR"/>
        </w:rPr>
      </w:pPr>
    </w:p>
    <w:p w14:paraId="5C05BBDD" w14:textId="77777777" w:rsidR="00AD2B87" w:rsidRPr="00963841" w:rsidRDefault="00AD2B87">
      <w:pPr>
        <w:pStyle w:val="Corpodetexto"/>
        <w:ind w:firstLine="0"/>
        <w:rPr>
          <w:sz w:val="18"/>
          <w:lang w:val="pt-BR"/>
        </w:rPr>
      </w:pPr>
    </w:p>
    <w:p w14:paraId="6304E673" w14:textId="49A951D2" w:rsidR="00AD2B87" w:rsidRDefault="00000000">
      <w:pPr>
        <w:spacing w:line="230" w:lineRule="auto"/>
        <w:ind w:left="508" w:right="6178"/>
        <w:rPr>
          <w:rFonts w:ascii="Arial"/>
          <w:sz w:val="14"/>
        </w:rPr>
      </w:pPr>
      <w:r>
        <w:rPr>
          <w:noProof/>
          <w:lang w:val="pt-BR"/>
        </w:rPr>
        <w:drawing>
          <wp:anchor distT="0" distB="0" distL="0" distR="0" simplePos="0" relativeHeight="251655680" behindDoc="0" locked="0" layoutInCell="1" allowOverlap="1" wp14:anchorId="3C97ABC6" wp14:editId="21A5AD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allowOverlap="1" wp14:anchorId="6C07DBB7" wp14:editId="0484FF6F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841">
        <w:rPr>
          <w:rFonts w:ascii="Arial"/>
          <w:sz w:val="14"/>
        </w:rPr>
        <w:t xml:space="preserve">SEKO Logistics, 1501 East Woodfield Road, Suite 210E, Schaumburg, IL 60173| </w:t>
      </w:r>
      <w:r w:rsidRPr="00963841">
        <w:t>EUA</w:t>
      </w:r>
    </w:p>
    <w:p w14:paraId="4E09A976" w14:textId="77777777" w:rsidR="00AD2B87" w:rsidRPr="00963841" w:rsidRDefault="00000000">
      <w:pPr>
        <w:spacing w:before="23"/>
        <w:ind w:left="508"/>
        <w:rPr>
          <w:rFonts w:ascii="Arial"/>
          <w:sz w:val="14"/>
          <w:lang w:val="pt-BR"/>
        </w:rPr>
      </w:pPr>
      <w:hyperlink r:id="rId12">
        <w:r>
          <w:rPr>
            <w:rFonts w:ascii="Arial" w:hAnsi="Arial"/>
            <w:sz w:val="14"/>
            <w:lang w:val="pt-BR"/>
          </w:rPr>
          <w:t>E-mail: hello@sekologistics.c</w:t>
        </w:r>
      </w:hyperlink>
      <w:r>
        <w:rPr>
          <w:rFonts w:ascii="Arial" w:hAnsi="Arial"/>
          <w:sz w:val="14"/>
          <w:lang w:val="pt-BR"/>
        </w:rPr>
        <w:t>om Ligação Gratuita: +1 800 228 2711 Tel: +1 630 919 4800</w:t>
      </w:r>
    </w:p>
    <w:p w14:paraId="63B6EBFB" w14:textId="77777777" w:rsidR="00AD2B87" w:rsidRPr="00963841" w:rsidRDefault="00000000">
      <w:pPr>
        <w:pStyle w:val="Corpodetexto"/>
        <w:spacing w:before="10"/>
        <w:ind w:firstLine="0"/>
        <w:rPr>
          <w:rFonts w:ascii="Arial"/>
          <w:sz w:val="5"/>
          <w:lang w:val="pt-BR"/>
        </w:rPr>
      </w:pPr>
      <w:r>
        <w:rPr>
          <w:lang w:val="pt-BR"/>
        </w:rPr>
        <w:pict w14:anchorId="7D47F3DA">
          <v:rect id="docshape1" o:spid="_x0000_s2050" style="position:absolute;margin-left:28.45pt;margin-top:4.55pt;width:86.8pt;height:.6pt;z-index:-251656704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77777777" w:rsidR="00AD2B87" w:rsidRDefault="00000000">
      <w:pPr>
        <w:ind w:left="508"/>
        <w:rPr>
          <w:rFonts w:ascii="Cambria"/>
          <w:b/>
          <w:sz w:val="16"/>
        </w:rPr>
      </w:pPr>
      <w:hyperlink r:id="rId13">
        <w:r>
          <w:rPr>
            <w:rFonts w:ascii="Cambria" w:hAnsi="Cambria"/>
            <w:b/>
            <w:bCs/>
            <w:color w:val="0000FF"/>
            <w:sz w:val="16"/>
            <w:lang w:val="pt-BR"/>
          </w:rPr>
          <w:t>www.sekologistics.com</w:t>
        </w:r>
      </w:hyperlink>
    </w:p>
    <w:sectPr w:rsidR="00AD2B8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1A9B" w14:textId="77777777" w:rsidR="00832350" w:rsidRDefault="00832350" w:rsidP="00DB7D07">
      <w:r>
        <w:separator/>
      </w:r>
    </w:p>
  </w:endnote>
  <w:endnote w:type="continuationSeparator" w:id="0">
    <w:p w14:paraId="4635B94B" w14:textId="77777777" w:rsidR="00832350" w:rsidRDefault="00832350" w:rsidP="00DB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B4C2" w14:textId="77777777" w:rsidR="00832350" w:rsidRDefault="00832350" w:rsidP="00DB7D07">
      <w:r>
        <w:separator/>
      </w:r>
    </w:p>
  </w:footnote>
  <w:footnote w:type="continuationSeparator" w:id="0">
    <w:p w14:paraId="6F977B79" w14:textId="77777777" w:rsidR="00832350" w:rsidRDefault="00832350" w:rsidP="00DB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 w16cid:durableId="202370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B87"/>
    <w:rsid w:val="00832350"/>
    <w:rsid w:val="00963841"/>
    <w:rsid w:val="00967BD6"/>
    <w:rsid w:val="00AD2B87"/>
    <w:rsid w:val="00C13670"/>
    <w:rsid w:val="00D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D07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2023-09-05T11:00:00Z</dcterms:modified>
</cp:coreProperties>
</file>