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10711" w14:textId="77777777" w:rsidR="00C73E44" w:rsidRDefault="00C73E44">
      <w:pPr>
        <w:pStyle w:val="BodyText"/>
        <w:spacing w:before="8"/>
        <w:rPr>
          <w:sz w:val="23"/>
        </w:rPr>
      </w:pPr>
    </w:p>
    <w:p w14:paraId="3308BC0B" w14:textId="77777777" w:rsidR="00C73E44" w:rsidRDefault="00000000">
      <w:pPr>
        <w:pStyle w:val="Heading1"/>
        <w:bidi/>
        <w:ind w:left="3962" w:right="3980"/>
        <w:jc w:val="center"/>
        <w:rPr>
          <w:u w:val="none"/>
        </w:rPr>
      </w:pPr>
      <w:r>
        <w:rPr>
          <w:u w:val="none"/>
          <w:rtl/>
          <w:lang w:bidi="ar"/>
        </w:rPr>
        <w:t xml:space="preserve">سياسة </w:t>
      </w:r>
      <w:r>
        <w:t>SEKO Logistics</w:t>
      </w:r>
      <w:r>
        <w:rPr>
          <w:u w:val="none"/>
          <w:rtl/>
          <w:lang w:bidi="ar"/>
        </w:rPr>
        <w:t xml:space="preserve"> </w:t>
      </w:r>
      <w:r>
        <w:rPr>
          <w:rtl/>
          <w:lang w:bidi="ar"/>
        </w:rPr>
        <w:t>لمكافحة الاحتكار</w:t>
      </w:r>
    </w:p>
    <w:p w14:paraId="7122B38E" w14:textId="77777777" w:rsidR="00C73E44" w:rsidRDefault="00C73E44">
      <w:pPr>
        <w:pStyle w:val="BodyText"/>
        <w:spacing w:before="2"/>
        <w:rPr>
          <w:b/>
          <w:sz w:val="16"/>
        </w:rPr>
      </w:pPr>
    </w:p>
    <w:p w14:paraId="5B4F4C50" w14:textId="77777777" w:rsidR="00C73E44" w:rsidRDefault="00000000">
      <w:pPr>
        <w:bidi/>
        <w:spacing w:before="90"/>
        <w:ind w:left="100"/>
        <w:rPr>
          <w:b/>
          <w:sz w:val="24"/>
        </w:rPr>
      </w:pPr>
      <w:r>
        <w:rPr>
          <w:b/>
          <w:bCs/>
          <w:sz w:val="24"/>
          <w:u w:val="single"/>
          <w:rtl/>
          <w:lang w:bidi="ar"/>
        </w:rPr>
        <w:t>السياسة العامة</w:t>
      </w:r>
      <w:r>
        <w:rPr>
          <w:b/>
          <w:bCs/>
          <w:sz w:val="24"/>
          <w:rtl/>
          <w:lang w:bidi="ar"/>
        </w:rPr>
        <w:t>:</w:t>
      </w:r>
    </w:p>
    <w:p w14:paraId="0C2F917A" w14:textId="77777777" w:rsidR="00C73E44" w:rsidRDefault="00C73E44">
      <w:pPr>
        <w:pStyle w:val="BodyText"/>
        <w:spacing w:before="9"/>
        <w:rPr>
          <w:b/>
          <w:sz w:val="15"/>
        </w:rPr>
      </w:pPr>
    </w:p>
    <w:p w14:paraId="17ECA4D4" w14:textId="77777777" w:rsidR="00C73E44" w:rsidRDefault="00000000">
      <w:pPr>
        <w:pStyle w:val="BodyText"/>
        <w:bidi/>
        <w:spacing w:before="90"/>
        <w:ind w:left="100" w:right="115" w:firstLine="719"/>
        <w:jc w:val="both"/>
      </w:pPr>
      <w:r>
        <w:rPr>
          <w:rtl/>
          <w:lang w:bidi="ar"/>
        </w:rPr>
        <w:t xml:space="preserve">تمارس </w:t>
      </w:r>
      <w:r>
        <w:t>SEKO Logistics</w:t>
      </w:r>
      <w:r>
        <w:rPr>
          <w:rtl/>
          <w:lang w:bidi="ar"/>
        </w:rPr>
        <w:t xml:space="preserve"> (يُشار إليها باسم "</w:t>
      </w:r>
      <w:r>
        <w:t>SEKO</w:t>
      </w:r>
      <w:r>
        <w:rPr>
          <w:rtl/>
          <w:lang w:bidi="ar"/>
        </w:rPr>
        <w:t xml:space="preserve">" أو "الشركة") أعمالها بشكل أخلاقي وبما يتوافق مع جميع القوانين في الدول التي تمارس فيها </w:t>
      </w:r>
      <w:r>
        <w:t>SEKO</w:t>
      </w:r>
      <w:r>
        <w:rPr>
          <w:rtl/>
          <w:lang w:bidi="ar"/>
        </w:rPr>
        <w:t xml:space="preserve"> أعمالها، بما في ذلك جميع قوانين مكافحة الاحتكار الحكومية، والفيدرالية، والدولية مثل قانون شيرمان الأمريكي، وقانون كلايتون الأمريكي، ولجنة التجارة الفيدرالية الأمريكية، بصيغتها المعدلة، وقوانين مكافحة الاحتكار في الاتحاد الأوروبي. لا يجوز لممثلي </w:t>
      </w:r>
      <w:r>
        <w:t>SEKO</w:t>
      </w:r>
      <w:r>
        <w:rPr>
          <w:rtl/>
          <w:lang w:bidi="ar"/>
        </w:rPr>
        <w:t xml:space="preserve"> التواصل بشكل مباشر أو غير مباشر مع "المنافسين" وعرض أي شكل من أشكال القيود غير القانونية، وتحديد الأسعار، والتمييز في الأسعار، وترتيبات التعامل الحصري، والتآمر، والاحتكارات، والأسعار، وهوامش الربح، و/أو الخصومات في أي ارتباطات. يتطلب الامتثال للقانون مراعاة نص وروح القانون.</w:t>
      </w:r>
    </w:p>
    <w:p w14:paraId="6C7C12A2" w14:textId="77777777" w:rsidR="00C73E44" w:rsidRDefault="00C73E44">
      <w:pPr>
        <w:pStyle w:val="BodyText"/>
      </w:pPr>
    </w:p>
    <w:p w14:paraId="6EE3C4D7" w14:textId="77777777" w:rsidR="00C73E44" w:rsidRDefault="00000000">
      <w:pPr>
        <w:pStyle w:val="BodyText"/>
        <w:bidi/>
        <w:ind w:left="100" w:right="117" w:firstLine="719"/>
        <w:jc w:val="both"/>
      </w:pPr>
      <w:r>
        <w:rPr>
          <w:rtl/>
          <w:lang w:bidi="ar"/>
        </w:rPr>
        <w:t xml:space="preserve">يتمثل أحد المبادئ الأساسية لشركة </w:t>
      </w:r>
      <w:r>
        <w:t>SEKO</w:t>
      </w:r>
      <w:r>
        <w:rPr>
          <w:rtl/>
          <w:lang w:bidi="ar"/>
        </w:rPr>
        <w:t xml:space="preserve"> في أنه لا يجوز لأي موظف الدخول في أي تفاهم، أو اتفاق، أو خطة، أو مخطط، سواء كان صريحًا أو ضمنيًا، رسميًا أو غير رسمي، شفهيًا أو خطيًا، مع أي منافس فيما يتعلق بالأسعار، أو شروط، أو أحكام البيع، أو الإنتاج أو التوزيع، أو المناطق، أو العملاء. تحظر </w:t>
      </w:r>
      <w:r>
        <w:t>SEKO</w:t>
      </w:r>
      <w:r>
        <w:rPr>
          <w:rtl/>
          <w:lang w:bidi="ar"/>
        </w:rPr>
        <w:t xml:space="preserve"> تمامًا أي تشاور مع المنافسين فيما يتعلق بالأسعار أو شروط وأحكام البيع.</w:t>
      </w:r>
    </w:p>
    <w:p w14:paraId="33034CD7" w14:textId="77777777" w:rsidR="00C73E44" w:rsidRDefault="00C73E44">
      <w:pPr>
        <w:pStyle w:val="BodyText"/>
      </w:pPr>
    </w:p>
    <w:p w14:paraId="20A79AC4" w14:textId="77777777" w:rsidR="00C73E44" w:rsidRDefault="00000000">
      <w:pPr>
        <w:pStyle w:val="BodyText"/>
        <w:bidi/>
        <w:ind w:left="100" w:right="118" w:firstLine="719"/>
        <w:jc w:val="both"/>
      </w:pPr>
      <w:r>
        <w:rPr>
          <w:rtl/>
          <w:lang w:bidi="ar"/>
        </w:rPr>
        <w:t>لأغراض الوضوح، تتضمن بعض الأمثلة على السلوك الذي يمكن تفسيره على أنه غير قانوني ومخالف لقوانين مكافحة الاحتكار، على سبيل المثال لا الحصر، ما يلي:</w:t>
      </w:r>
    </w:p>
    <w:p w14:paraId="58E90FB1" w14:textId="77777777" w:rsidR="00C73E44" w:rsidRDefault="00C73E44">
      <w:pPr>
        <w:pStyle w:val="BodyText"/>
      </w:pPr>
    </w:p>
    <w:p w14:paraId="000BE5E0" w14:textId="77777777" w:rsidR="00C73E44" w:rsidRDefault="00000000">
      <w:pPr>
        <w:pStyle w:val="ListParagraph"/>
        <w:numPr>
          <w:ilvl w:val="0"/>
          <w:numId w:val="1"/>
        </w:numPr>
        <w:tabs>
          <w:tab w:val="left" w:pos="1540"/>
          <w:tab w:val="left" w:pos="1541"/>
        </w:tabs>
        <w:bidi/>
        <w:spacing w:before="1"/>
        <w:ind w:hanging="721"/>
        <w:rPr>
          <w:sz w:val="24"/>
        </w:rPr>
      </w:pPr>
      <w:r>
        <w:rPr>
          <w:sz w:val="24"/>
          <w:rtl/>
          <w:lang w:bidi="ar"/>
        </w:rPr>
        <w:t>تحديد الأسعار مع المنافسين؛</w:t>
      </w:r>
    </w:p>
    <w:p w14:paraId="637E7D6B" w14:textId="77777777" w:rsidR="00C73E44" w:rsidRDefault="00C73E44">
      <w:pPr>
        <w:pStyle w:val="BodyText"/>
      </w:pPr>
    </w:p>
    <w:p w14:paraId="069E50CF" w14:textId="77777777" w:rsidR="00C73E44" w:rsidRDefault="00000000">
      <w:pPr>
        <w:pStyle w:val="ListParagraph"/>
        <w:numPr>
          <w:ilvl w:val="0"/>
          <w:numId w:val="1"/>
        </w:numPr>
        <w:tabs>
          <w:tab w:val="left" w:pos="1540"/>
          <w:tab w:val="left" w:pos="1541"/>
        </w:tabs>
        <w:bidi/>
        <w:ind w:hanging="721"/>
        <w:rPr>
          <w:sz w:val="24"/>
        </w:rPr>
      </w:pPr>
      <w:r>
        <w:rPr>
          <w:sz w:val="24"/>
          <w:rtl/>
          <w:lang w:bidi="ar"/>
        </w:rPr>
        <w:t>تزوير العطاءات مع المنافسين؛</w:t>
      </w:r>
    </w:p>
    <w:p w14:paraId="028EDBA3" w14:textId="77777777" w:rsidR="00C73E44" w:rsidRDefault="00C73E44">
      <w:pPr>
        <w:pStyle w:val="BodyText"/>
      </w:pPr>
    </w:p>
    <w:p w14:paraId="3D8CA5CD" w14:textId="77777777" w:rsidR="00C73E44" w:rsidRDefault="00000000">
      <w:pPr>
        <w:pStyle w:val="ListParagraph"/>
        <w:numPr>
          <w:ilvl w:val="0"/>
          <w:numId w:val="1"/>
        </w:numPr>
        <w:tabs>
          <w:tab w:val="left" w:pos="1540"/>
          <w:tab w:val="left" w:pos="1541"/>
        </w:tabs>
        <w:bidi/>
        <w:ind w:hanging="721"/>
        <w:rPr>
          <w:sz w:val="24"/>
        </w:rPr>
      </w:pPr>
      <w:r>
        <w:rPr>
          <w:sz w:val="24"/>
          <w:rtl/>
          <w:lang w:bidi="ar"/>
        </w:rPr>
        <w:t>التآمر مع المنافسين؛</w:t>
      </w:r>
    </w:p>
    <w:p w14:paraId="57C17C0B" w14:textId="77777777" w:rsidR="00C73E44" w:rsidRDefault="00C73E44">
      <w:pPr>
        <w:pStyle w:val="BodyText"/>
      </w:pPr>
    </w:p>
    <w:p w14:paraId="34C0A948" w14:textId="77777777" w:rsidR="00C73E44" w:rsidRDefault="00000000">
      <w:pPr>
        <w:pStyle w:val="ListParagraph"/>
        <w:numPr>
          <w:ilvl w:val="0"/>
          <w:numId w:val="1"/>
        </w:numPr>
        <w:tabs>
          <w:tab w:val="left" w:pos="1540"/>
          <w:tab w:val="left" w:pos="1541"/>
        </w:tabs>
        <w:bidi/>
        <w:ind w:left="100" w:right="120" w:firstLine="719"/>
        <w:rPr>
          <w:sz w:val="24"/>
        </w:rPr>
      </w:pPr>
      <w:r>
        <w:rPr>
          <w:sz w:val="24"/>
          <w:rtl/>
          <w:lang w:bidi="ar"/>
        </w:rPr>
        <w:t>إتلاف الوثائق في محاولة لتحقيق أو إخفاء أي من الدوافع المذكورة أعلاه؛</w:t>
      </w:r>
    </w:p>
    <w:p w14:paraId="5E2B0F96" w14:textId="77777777" w:rsidR="00C73E44" w:rsidRDefault="00C73E44">
      <w:pPr>
        <w:pStyle w:val="BodyText"/>
      </w:pPr>
    </w:p>
    <w:p w14:paraId="3501E4EE" w14:textId="77777777" w:rsidR="00C73E44" w:rsidRDefault="00000000">
      <w:pPr>
        <w:pStyle w:val="ListParagraph"/>
        <w:numPr>
          <w:ilvl w:val="0"/>
          <w:numId w:val="1"/>
        </w:numPr>
        <w:tabs>
          <w:tab w:val="left" w:pos="1600"/>
          <w:tab w:val="left" w:pos="1601"/>
        </w:tabs>
        <w:bidi/>
        <w:ind w:left="1600" w:hanging="781"/>
        <w:rPr>
          <w:sz w:val="24"/>
        </w:rPr>
      </w:pPr>
      <w:r>
        <w:rPr>
          <w:sz w:val="24"/>
          <w:rtl/>
          <w:lang w:bidi="ar"/>
        </w:rPr>
        <w:t>التمييز في الأسعار.</w:t>
      </w:r>
    </w:p>
    <w:p w14:paraId="24B84678" w14:textId="77777777" w:rsidR="00C73E44" w:rsidRDefault="00C73E44">
      <w:pPr>
        <w:pStyle w:val="BodyText"/>
      </w:pPr>
    </w:p>
    <w:p w14:paraId="4C74326C" w14:textId="77777777" w:rsidR="00C73E44" w:rsidRDefault="00000000">
      <w:pPr>
        <w:pStyle w:val="BodyText"/>
        <w:bidi/>
        <w:ind w:left="100" w:right="174" w:firstLine="719"/>
      </w:pPr>
      <w:r>
        <w:rPr>
          <w:rtl/>
          <w:lang w:bidi="ar"/>
        </w:rPr>
        <w:t>سيؤدي أي انتهاك لسياسة مكافحة الاحتكار الخاصة بالشركة أو قوانين مكافحة الاحتكار إلى إخضاع أي موظف لعقوبات قانونية بالإضافة إلى التأديب الخاص بالشركة، الذي يشمل الفصل من العمل.</w:t>
      </w:r>
    </w:p>
    <w:p w14:paraId="20BF485B" w14:textId="77777777" w:rsidR="00C73E44" w:rsidRDefault="00C73E44">
      <w:pPr>
        <w:pStyle w:val="BodyText"/>
        <w:spacing w:before="6"/>
      </w:pPr>
    </w:p>
    <w:p w14:paraId="65478CD8" w14:textId="77777777" w:rsidR="00C73E44" w:rsidRDefault="00000000">
      <w:pPr>
        <w:pStyle w:val="Heading1"/>
        <w:bidi/>
        <w:spacing w:before="0"/>
        <w:rPr>
          <w:u w:val="none"/>
        </w:rPr>
      </w:pPr>
      <w:r>
        <w:rPr>
          <w:rtl/>
          <w:lang w:bidi="ar"/>
        </w:rPr>
        <w:t>الشكاوى/ الإبلاغ</w:t>
      </w:r>
      <w:r>
        <w:rPr>
          <w:u w:val="none"/>
          <w:rtl/>
          <w:lang w:bidi="ar"/>
        </w:rPr>
        <w:t>:</w:t>
      </w:r>
    </w:p>
    <w:p w14:paraId="04F326BE" w14:textId="77777777" w:rsidR="00C73E44" w:rsidRDefault="00C73E44">
      <w:pPr>
        <w:pStyle w:val="BodyText"/>
        <w:spacing w:before="8"/>
        <w:rPr>
          <w:b/>
          <w:sz w:val="15"/>
        </w:rPr>
      </w:pPr>
    </w:p>
    <w:p w14:paraId="7F220C8E" w14:textId="77777777" w:rsidR="00C73E44" w:rsidRDefault="00000000">
      <w:pPr>
        <w:pStyle w:val="BodyText"/>
        <w:bidi/>
        <w:spacing w:before="90"/>
        <w:ind w:left="100" w:right="174" w:firstLine="719"/>
      </w:pPr>
      <w:r>
        <w:rPr>
          <w:rtl/>
          <w:lang w:bidi="ar"/>
        </w:rPr>
        <w:t xml:space="preserve">في حالة اعتقادك أن السلوك أو الممارسات التجارية لممثل </w:t>
      </w:r>
      <w:r>
        <w:t>SEKO</w:t>
      </w:r>
      <w:r>
        <w:rPr>
          <w:rtl/>
          <w:lang w:bidi="ar"/>
        </w:rPr>
        <w:t xml:space="preserve"> تنتهك هذه السياسة، فأنت ملزم بالقيام بما يلي:</w:t>
      </w:r>
    </w:p>
    <w:p w14:paraId="58489301" w14:textId="77777777" w:rsidR="00C73E44" w:rsidRDefault="00C73E44">
      <w:pPr>
        <w:sectPr w:rsidR="00C73E44">
          <w:headerReference w:type="default" r:id="rId8"/>
          <w:footerReference w:type="default" r:id="rId9"/>
          <w:type w:val="continuous"/>
          <w:pgSz w:w="12240" w:h="15840"/>
          <w:pgMar w:top="1660" w:right="1320" w:bottom="600" w:left="1340" w:header="960" w:footer="414" w:gutter="0"/>
          <w:pgNumType w:start="1"/>
          <w:cols w:space="720"/>
        </w:sectPr>
      </w:pPr>
    </w:p>
    <w:p w14:paraId="733C6B19" w14:textId="77777777" w:rsidR="00C73E44" w:rsidRDefault="00C73E44">
      <w:pPr>
        <w:pStyle w:val="BodyText"/>
        <w:rPr>
          <w:sz w:val="20"/>
        </w:rPr>
      </w:pPr>
    </w:p>
    <w:p w14:paraId="528C7B2A" w14:textId="77777777" w:rsidR="00C73E44" w:rsidRDefault="00000000">
      <w:pPr>
        <w:pStyle w:val="BodyText"/>
        <w:bidi/>
        <w:spacing w:before="90"/>
        <w:ind w:left="100" w:right="116" w:firstLine="719"/>
        <w:jc w:val="both"/>
      </w:pPr>
      <w:r>
        <w:rPr>
          <w:rtl/>
          <w:lang w:bidi="ar"/>
        </w:rPr>
        <w:t>إرسال رسالة عبر البريد الإلكتروني إلى</w:t>
      </w:r>
      <w:hyperlink r:id="rId10">
        <w:r>
          <w:t>compliance@sekologistics.com</w:t>
        </w:r>
      </w:hyperlink>
      <w:r>
        <w:rPr>
          <w:rtl/>
          <w:lang w:bidi="ar"/>
        </w:rPr>
        <w:t>. سطر الموضوع: تنبيه مكافحة الاحتكار، نص رسالة البريد الإلكتروني الذي يتضمن توقيع المرسلين. سيتم الاتصال بك على الفور من قبل قسم الشؤون القانونية/ا لامتثال لدينا.</w:t>
      </w:r>
    </w:p>
    <w:p w14:paraId="725DE9F9" w14:textId="77777777" w:rsidR="00C73E44" w:rsidRDefault="00C73E44">
      <w:pPr>
        <w:pStyle w:val="BodyText"/>
        <w:spacing w:before="3"/>
        <w:rPr>
          <w:sz w:val="25"/>
        </w:rPr>
      </w:pPr>
    </w:p>
    <w:p w14:paraId="17E5EEFE" w14:textId="77777777" w:rsidR="00C73E44" w:rsidRDefault="00000000">
      <w:pPr>
        <w:pStyle w:val="Heading1"/>
        <w:bidi/>
        <w:spacing w:before="1"/>
        <w:rPr>
          <w:u w:val="none"/>
        </w:rPr>
      </w:pPr>
      <w:r>
        <w:rPr>
          <w:rtl/>
          <w:lang w:bidi="ar"/>
        </w:rPr>
        <w:t>عدم الانتقام بسبب الإبلاغ:</w:t>
      </w:r>
    </w:p>
    <w:p w14:paraId="6B0E51B9" w14:textId="77777777" w:rsidR="00C73E44" w:rsidRDefault="00C73E44">
      <w:pPr>
        <w:pStyle w:val="BodyText"/>
        <w:rPr>
          <w:b/>
        </w:rPr>
      </w:pPr>
    </w:p>
    <w:p w14:paraId="1F62230A" w14:textId="77777777" w:rsidR="00C73E44" w:rsidRDefault="00000000">
      <w:pPr>
        <w:pStyle w:val="BodyText"/>
        <w:bidi/>
        <w:ind w:left="191" w:right="144" w:firstLine="628"/>
      </w:pPr>
      <w:r>
        <w:rPr>
          <w:rtl/>
          <w:lang w:bidi="ar"/>
        </w:rPr>
        <w:t xml:space="preserve">ستحمي </w:t>
      </w:r>
      <w:r>
        <w:t>SEKO</w:t>
      </w:r>
      <w:r>
        <w:rPr>
          <w:rtl/>
          <w:lang w:bidi="ar"/>
        </w:rPr>
        <w:t xml:space="preserve"> سرية الادعاءات إلى أقصى حد ممكن ومناسب في ظل الظروف. إذا كنت تشعر بعدم الارتياح عند تقديم شكوى/ بلاغ باسمك، فيمكنك تقديم الشكوى دون الكشف عن هويتك. ستحقق </w:t>
      </w:r>
      <w:r>
        <w:t>SEKO</w:t>
      </w:r>
      <w:r>
        <w:rPr>
          <w:rtl/>
          <w:lang w:bidi="ar"/>
        </w:rPr>
        <w:t xml:space="preserve"> بنشاط في جميع الشكاوى بموجب هذه السياسة، وإذا تقرر حدوث انتهاك، فسوف تتخذ </w:t>
      </w:r>
      <w:r>
        <w:t>SEKO</w:t>
      </w:r>
      <w:r>
        <w:rPr>
          <w:rtl/>
          <w:lang w:bidi="ar"/>
        </w:rPr>
        <w:t xml:space="preserve"> الإجراء التأديبي المناسب ضد الطرف المخالف، بما في ذلك فصل الموظف أو إنهاء الاتفاقية مع ممثل </w:t>
      </w:r>
      <w:r>
        <w:t>SEKO</w:t>
      </w:r>
      <w:r>
        <w:rPr>
          <w:rtl/>
          <w:lang w:bidi="ar"/>
        </w:rPr>
        <w:t xml:space="preserve"> هذا. لن تنتقم </w:t>
      </w:r>
      <w:r>
        <w:t>SEKO</w:t>
      </w:r>
      <w:r>
        <w:rPr>
          <w:rtl/>
          <w:lang w:bidi="ar"/>
        </w:rPr>
        <w:t xml:space="preserve"> أو تسمح بالانتقام من أي شخص اشتكى من انتهاكات قوانين مكافحة الاحتكار، أو شارك بطريقة أخرى في التحقيق في مثل هذه الشكاوى.</w:t>
      </w:r>
    </w:p>
    <w:p w14:paraId="12E701CA" w14:textId="77777777" w:rsidR="00C73E44" w:rsidRDefault="00C73E44">
      <w:pPr>
        <w:pStyle w:val="BodyText"/>
        <w:spacing w:before="5"/>
      </w:pPr>
    </w:p>
    <w:p w14:paraId="433C5CFA" w14:textId="77777777" w:rsidR="00C73E44" w:rsidRDefault="00000000">
      <w:pPr>
        <w:pStyle w:val="BodyText"/>
        <w:bidi/>
        <w:ind w:left="100" w:right="116" w:firstLine="719"/>
        <w:jc w:val="both"/>
      </w:pPr>
      <w:r>
        <w:rPr>
          <w:rtl/>
          <w:lang w:bidi="ar"/>
        </w:rPr>
        <w:t xml:space="preserve">يجب على أي ممثل لـ </w:t>
      </w:r>
      <w:r>
        <w:t>SEKO</w:t>
      </w:r>
      <w:r>
        <w:rPr>
          <w:rtl/>
          <w:lang w:bidi="ar"/>
        </w:rPr>
        <w:t xml:space="preserve"> يتلقى شكوى/ بلاغ من أحد أفراد الجمهور أن ينصح الشخص بالإبلاغ عن شكواه مباشرة إلى البريد </w:t>
      </w:r>
      <w:hyperlink r:id="rId11">
        <w:r>
          <w:rPr>
            <w:color w:val="054993"/>
            <w:rtl/>
            <w:lang w:bidi="ar"/>
          </w:rPr>
          <w:t>الإلكتروني</w:t>
        </w:r>
        <w:r>
          <w:rPr>
            <w:color w:val="054993"/>
          </w:rPr>
          <w:t>compliance@sekologist</w:t>
        </w:r>
      </w:hyperlink>
      <w:r>
        <w:rPr>
          <w:color w:val="054993"/>
        </w:rPr>
        <w:t>ics.com</w:t>
      </w:r>
    </w:p>
    <w:p w14:paraId="7DC7BE4E" w14:textId="77777777" w:rsidR="00C73E44" w:rsidRDefault="00C73E44">
      <w:pPr>
        <w:pStyle w:val="BodyText"/>
      </w:pPr>
    </w:p>
    <w:p w14:paraId="72DCAE38" w14:textId="77777777" w:rsidR="00C73E44" w:rsidRDefault="00000000">
      <w:pPr>
        <w:pStyle w:val="BodyText"/>
        <w:bidi/>
        <w:ind w:left="100" w:right="116" w:firstLine="719"/>
        <w:jc w:val="both"/>
      </w:pPr>
      <w:r>
        <w:rPr>
          <w:rtl/>
          <w:lang w:bidi="ar"/>
        </w:rPr>
        <w:t xml:space="preserve">لن تدفع </w:t>
      </w:r>
      <w:r>
        <w:t>SEKO</w:t>
      </w:r>
      <w:r>
        <w:rPr>
          <w:rtl/>
          <w:lang w:bidi="ar"/>
        </w:rPr>
        <w:t xml:space="preserve"> أي غرامات، أو نفقات قانونية تُفرض ضد أي ممثل لها مدان بانتهاك أي قوانين مكافحة الاحتكار والذي تصرف بشكل مخالف لهذه السياسة.</w:t>
      </w:r>
    </w:p>
    <w:p w14:paraId="17148C2A" w14:textId="77777777" w:rsidR="00C73E44" w:rsidRDefault="00C73E44">
      <w:pPr>
        <w:pStyle w:val="BodyText"/>
        <w:spacing w:before="1"/>
      </w:pPr>
    </w:p>
    <w:p w14:paraId="0A51D771" w14:textId="77777777" w:rsidR="00C73E44" w:rsidRDefault="00000000">
      <w:pPr>
        <w:pStyle w:val="BodyText"/>
        <w:bidi/>
        <w:ind w:left="100" w:right="116" w:firstLine="719"/>
        <w:jc w:val="both"/>
      </w:pPr>
      <w:r>
        <w:rPr>
          <w:u w:val="single"/>
          <w:rtl/>
          <w:lang w:bidi="ar"/>
        </w:rPr>
        <w:t>تجدر الإشارة إلى أن هذا البيان الموجز ليس المقصود منه أن يكون بيانًا كاملاً لجميع</w:t>
      </w:r>
      <w:r>
        <w:rPr>
          <w:rtl/>
          <w:lang w:bidi="ar"/>
        </w:rPr>
        <w:t xml:space="preserve"> </w:t>
      </w:r>
      <w:r>
        <w:rPr>
          <w:u w:val="single"/>
          <w:rtl/>
          <w:lang w:bidi="ar"/>
        </w:rPr>
        <w:t xml:space="preserve"> جوانب قوانين مكافحة الاحتكار أو سياسة الشركة. إذا كان لديك أي أسئلة تتعلق</w:t>
      </w:r>
      <w:r>
        <w:rPr>
          <w:rtl/>
          <w:lang w:bidi="ar"/>
        </w:rPr>
        <w:t xml:space="preserve"> </w:t>
      </w:r>
      <w:r>
        <w:rPr>
          <w:u w:val="single"/>
          <w:rtl/>
          <w:lang w:bidi="ar"/>
        </w:rPr>
        <w:t xml:space="preserve">بسياسة مكافحة الاحتكار، فيرجى التواصل مع قسم الشؤن القانونية والامتثال لـ </w:t>
      </w:r>
      <w:r>
        <w:rPr>
          <w:u w:val="single"/>
        </w:rPr>
        <w:t>SEKO</w:t>
      </w:r>
      <w:r>
        <w:rPr>
          <w:u w:val="single"/>
          <w:rtl/>
          <w:lang w:bidi="ar"/>
        </w:rPr>
        <w:t>.</w:t>
      </w:r>
    </w:p>
    <w:sectPr w:rsidR="00C73E44">
      <w:pgSz w:w="12240" w:h="15840"/>
      <w:pgMar w:top="1660" w:right="1320" w:bottom="600" w:left="1340" w:header="960" w:footer="4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9159A" w14:textId="77777777" w:rsidR="008758F7" w:rsidRDefault="008758F7">
      <w:pPr>
        <w:bidi/>
      </w:pPr>
      <w:r>
        <w:separator/>
      </w:r>
    </w:p>
  </w:endnote>
  <w:endnote w:type="continuationSeparator" w:id="0">
    <w:p w14:paraId="21A26FEF" w14:textId="77777777" w:rsidR="008758F7" w:rsidRDefault="008758F7">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EEAF" w14:textId="006D766C" w:rsidR="00C73E44" w:rsidRDefault="001F0E7C">
    <w:pPr>
      <w:pStyle w:val="BodyText"/>
      <w:bidi/>
      <w:spacing w:line="14" w:lineRule="auto"/>
      <w:rPr>
        <w:sz w:val="20"/>
      </w:rPr>
    </w:pPr>
    <w:r>
      <w:rPr>
        <w:noProof/>
      </w:rPr>
      <mc:AlternateContent>
        <mc:Choice Requires="wps">
          <w:drawing>
            <wp:anchor distT="0" distB="0" distL="114300" distR="114300" simplePos="0" relativeHeight="251658240" behindDoc="1" locked="0" layoutInCell="1" allowOverlap="1" wp14:anchorId="1083D804" wp14:editId="3DDA72A8">
              <wp:simplePos x="0" y="0"/>
              <wp:positionH relativeFrom="page">
                <wp:posOffset>901700</wp:posOffset>
              </wp:positionH>
              <wp:positionV relativeFrom="page">
                <wp:posOffset>9655810</wp:posOffset>
              </wp:positionV>
              <wp:extent cx="1874520" cy="139065"/>
              <wp:effectExtent l="0" t="0" r="0" b="0"/>
              <wp:wrapNone/>
              <wp:docPr id="143165694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2BD96" w14:textId="77777777" w:rsidR="00C73E44" w:rsidRDefault="00000000">
                          <w:pPr>
                            <w:bidi/>
                            <w:spacing w:before="14"/>
                            <w:ind w:left="20"/>
                            <w:rPr>
                              <w:sz w:val="16"/>
                            </w:rPr>
                          </w:pPr>
                          <w:r>
                            <w:rPr>
                              <w:sz w:val="16"/>
                              <w:rtl/>
                              <w:lang w:bidi="ar"/>
                            </w:rPr>
                            <w:t xml:space="preserve">سياسة </w:t>
                          </w:r>
                          <w:r>
                            <w:rPr>
                              <w:sz w:val="16"/>
                            </w:rPr>
                            <w:t>SEKO</w:t>
                          </w:r>
                          <w:r>
                            <w:rPr>
                              <w:sz w:val="16"/>
                              <w:rtl/>
                              <w:lang w:bidi="ar"/>
                            </w:rPr>
                            <w:t xml:space="preserve"> لمكافحة الاحتكار، المراجعة 2، التاريخ: 24 أكتوبر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3D804" id="_x0000_t202" coordsize="21600,21600" o:spt="202" path="m,l,21600r21600,l21600,xe">
              <v:stroke joinstyle="miter"/>
              <v:path gradientshapeok="t" o:connecttype="rect"/>
            </v:shapetype>
            <v:shape id="docshape1" o:spid="_x0000_s1026" type="#_x0000_t202" style="position:absolute;left:0;text-align:left;margin-left:71pt;margin-top:760.3pt;width:147.6pt;height:10.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" filled="f" stroked="f">
              <v:textbox inset="0,0,0,0">
                <w:txbxContent>
                  <w:p w14:paraId="2D02BD96" w14:textId="77777777" w:rsidR="00C73E44" w:rsidRDefault="00000000">
                    <w:pPr>
                      <w:bidi/>
                      <w:spacing w:before="14"/>
                      <w:ind w:left="20"/>
                      <w:rPr>
                        <w:sz w:val="16"/>
                      </w:rPr>
                    </w:pPr>
                    <w:r>
                      <w:rPr>
                        <w:sz w:val="16"/>
                        <w:rtl/>
                        <w:lang w:bidi="ar"/>
                      </w:rPr>
                      <w:t xml:space="preserve">سياسة </w:t>
                    </w:r>
                    <w:r>
                      <w:rPr>
                        <w:sz w:val="16"/>
                      </w:rPr>
                      <w:t>SEKO</w:t>
                    </w:r>
                    <w:r>
                      <w:rPr>
                        <w:sz w:val="16"/>
                        <w:rtl/>
                        <w:lang w:bidi="ar"/>
                      </w:rPr>
                      <w:t xml:space="preserve"> لمكافحة الاحتكار، المراجعة 2، التاريخ: 24 أكتوبر 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3FCA5" w14:textId="77777777" w:rsidR="008758F7" w:rsidRDefault="008758F7">
      <w:pPr>
        <w:bidi/>
      </w:pPr>
      <w:r>
        <w:separator/>
      </w:r>
    </w:p>
  </w:footnote>
  <w:footnote w:type="continuationSeparator" w:id="0">
    <w:p w14:paraId="1C54E4DE" w14:textId="77777777" w:rsidR="008758F7" w:rsidRDefault="008758F7">
      <w:pPr>
        <w:bidi/>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6E06" w14:textId="77777777" w:rsidR="00C73E44" w:rsidRDefault="00000000">
    <w:pPr>
      <w:pStyle w:val="BodyText"/>
      <w:bidi/>
      <w:spacing w:line="14" w:lineRule="auto"/>
      <w:rPr>
        <w:sz w:val="20"/>
      </w:rPr>
    </w:pPr>
    <w:r>
      <w:rPr>
        <w:noProof/>
      </w:rPr>
      <w:drawing>
        <wp:anchor distT="0" distB="0" distL="0" distR="0" simplePos="0" relativeHeight="251657216" behindDoc="1" locked="0" layoutInCell="1" allowOverlap="1" wp14:anchorId="1AD746DF" wp14:editId="4FC69661">
          <wp:simplePos x="0" y="0"/>
          <wp:positionH relativeFrom="page">
            <wp:posOffset>914400</wp:posOffset>
          </wp:positionH>
          <wp:positionV relativeFrom="page">
            <wp:posOffset>609511</wp:posOffset>
          </wp:positionV>
          <wp:extent cx="2666620" cy="45693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666620" cy="4569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83850"/>
    <w:multiLevelType w:val="hybridMultilevel"/>
    <w:tmpl w:val="0590BA3E"/>
    <w:lvl w:ilvl="0" w:tplc="6078622C">
      <w:start w:val="1"/>
      <w:numFmt w:val="arabicAbjad"/>
      <w:lvlText w:val="%1)"/>
      <w:lvlJc w:val="left"/>
      <w:pPr>
        <w:ind w:left="1540" w:hanging="720"/>
        <w:jc w:val="left"/>
      </w:pPr>
      <w:rPr>
        <w:rFonts w:ascii="Arial" w:eastAsia="Arial" w:hAnsi="Arial" w:cs="Arial" w:hint="default"/>
        <w:b w:val="0"/>
        <w:bCs w:val="0"/>
        <w:i w:val="0"/>
        <w:iCs w:val="0"/>
        <w:spacing w:val="-2"/>
        <w:w w:val="99"/>
        <w:sz w:val="24"/>
        <w:szCs w:val="24"/>
        <w:lang w:val="en-US" w:eastAsia="en-US" w:bidi="ar-SA"/>
      </w:rPr>
    </w:lvl>
    <w:lvl w:ilvl="1" w:tplc="957A0FCE">
      <w:numFmt w:val="bullet"/>
      <w:lvlText w:val="•"/>
      <w:lvlJc w:val="left"/>
      <w:pPr>
        <w:ind w:left="2344" w:hanging="720"/>
      </w:pPr>
      <w:rPr>
        <w:rFonts w:hint="default"/>
        <w:lang w:val="en-US" w:eastAsia="en-US" w:bidi="ar-SA"/>
      </w:rPr>
    </w:lvl>
    <w:lvl w:ilvl="2" w:tplc="92B47718">
      <w:numFmt w:val="bullet"/>
      <w:lvlText w:val="•"/>
      <w:lvlJc w:val="left"/>
      <w:pPr>
        <w:ind w:left="3148" w:hanging="720"/>
      </w:pPr>
      <w:rPr>
        <w:rFonts w:hint="default"/>
        <w:lang w:val="en-US" w:eastAsia="en-US" w:bidi="ar-SA"/>
      </w:rPr>
    </w:lvl>
    <w:lvl w:ilvl="3" w:tplc="479ECB3C">
      <w:numFmt w:val="bullet"/>
      <w:lvlText w:val="•"/>
      <w:lvlJc w:val="left"/>
      <w:pPr>
        <w:ind w:left="3952" w:hanging="720"/>
      </w:pPr>
      <w:rPr>
        <w:rFonts w:hint="default"/>
        <w:lang w:val="en-US" w:eastAsia="en-US" w:bidi="ar-SA"/>
      </w:rPr>
    </w:lvl>
    <w:lvl w:ilvl="4" w:tplc="46C8E108">
      <w:numFmt w:val="bullet"/>
      <w:lvlText w:val="•"/>
      <w:lvlJc w:val="left"/>
      <w:pPr>
        <w:ind w:left="4756" w:hanging="720"/>
      </w:pPr>
      <w:rPr>
        <w:rFonts w:hint="default"/>
        <w:lang w:val="en-US" w:eastAsia="en-US" w:bidi="ar-SA"/>
      </w:rPr>
    </w:lvl>
    <w:lvl w:ilvl="5" w:tplc="9E141354">
      <w:numFmt w:val="bullet"/>
      <w:lvlText w:val="•"/>
      <w:lvlJc w:val="left"/>
      <w:pPr>
        <w:ind w:left="5560" w:hanging="720"/>
      </w:pPr>
      <w:rPr>
        <w:rFonts w:hint="default"/>
        <w:lang w:val="en-US" w:eastAsia="en-US" w:bidi="ar-SA"/>
      </w:rPr>
    </w:lvl>
    <w:lvl w:ilvl="6" w:tplc="CDE42F5E">
      <w:numFmt w:val="bullet"/>
      <w:lvlText w:val="•"/>
      <w:lvlJc w:val="left"/>
      <w:pPr>
        <w:ind w:left="6364" w:hanging="720"/>
      </w:pPr>
      <w:rPr>
        <w:rFonts w:hint="default"/>
        <w:lang w:val="en-US" w:eastAsia="en-US" w:bidi="ar-SA"/>
      </w:rPr>
    </w:lvl>
    <w:lvl w:ilvl="7" w:tplc="88F463AA">
      <w:numFmt w:val="bullet"/>
      <w:lvlText w:val="•"/>
      <w:lvlJc w:val="left"/>
      <w:pPr>
        <w:ind w:left="7168" w:hanging="720"/>
      </w:pPr>
      <w:rPr>
        <w:rFonts w:hint="default"/>
        <w:lang w:val="en-US" w:eastAsia="en-US" w:bidi="ar-SA"/>
      </w:rPr>
    </w:lvl>
    <w:lvl w:ilvl="8" w:tplc="01B62052">
      <w:numFmt w:val="bullet"/>
      <w:lvlText w:val="•"/>
      <w:lvlJc w:val="left"/>
      <w:pPr>
        <w:ind w:left="7972" w:hanging="720"/>
      </w:pPr>
      <w:rPr>
        <w:rFonts w:hint="default"/>
        <w:lang w:val="en-US" w:eastAsia="en-US" w:bidi="ar-SA"/>
      </w:rPr>
    </w:lvl>
  </w:abstractNum>
  <w:num w:numId="1" w16cid:durableId="2053076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E44"/>
    <w:rsid w:val="00125705"/>
    <w:rsid w:val="001F0E7C"/>
    <w:rsid w:val="004219F0"/>
    <w:rsid w:val="00707705"/>
    <w:rsid w:val="008758F7"/>
    <w:rsid w:val="00C73E44"/>
    <w:rsid w:val="00D963DE"/>
    <w:rsid w:val="00EB259F"/>
  </w:rsids>
  <m:mathPr>
    <m:mathFont m:val="Cambria Math"/>
    <m:brkBin m:val="before"/>
    <m:brkBinSub m:val="--"/>
    <m:smallFrac m:val="0"/>
    <m:dispDef/>
    <m:lMargin m:val="0"/>
    <m:rMargin m:val="0"/>
    <m:defJc m:val="centerGroup"/>
    <m:wrapIndent m:val="1440"/>
    <m:intLim m:val="subSup"/>
    <m:naryLim m:val="undOvr"/>
  </m:mathPr>
  <w:themeFontLang w:val="en-PH"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06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5705"/>
    <w:pPr>
      <w:tabs>
        <w:tab w:val="center" w:pos="4680"/>
        <w:tab w:val="right" w:pos="9360"/>
      </w:tabs>
    </w:pPr>
  </w:style>
  <w:style w:type="character" w:customStyle="1" w:styleId="HeaderChar">
    <w:name w:val="Header Char"/>
    <w:basedOn w:val="DefaultParagraphFont"/>
    <w:link w:val="Header"/>
    <w:uiPriority w:val="99"/>
    <w:rsid w:val="00125705"/>
    <w:rPr>
      <w:rFonts w:ascii="Times New Roman" w:eastAsia="Times New Roman" w:hAnsi="Times New Roman" w:cs="Times New Roman"/>
    </w:rPr>
  </w:style>
  <w:style w:type="paragraph" w:styleId="Footer">
    <w:name w:val="footer"/>
    <w:basedOn w:val="Normal"/>
    <w:link w:val="FooterChar"/>
    <w:uiPriority w:val="99"/>
    <w:unhideWhenUsed/>
    <w:rsid w:val="00125705"/>
    <w:pPr>
      <w:tabs>
        <w:tab w:val="center" w:pos="4680"/>
        <w:tab w:val="right" w:pos="9360"/>
      </w:tabs>
    </w:pPr>
  </w:style>
  <w:style w:type="character" w:customStyle="1" w:styleId="FooterChar">
    <w:name w:val="Footer Char"/>
    <w:basedOn w:val="DefaultParagraphFont"/>
    <w:link w:val="Footer"/>
    <w:uiPriority w:val="99"/>
    <w:rsid w:val="0012570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hics@sekologistics.com" TargetMode="External"/><Relationship Id="rId5" Type="http://schemas.openxmlformats.org/officeDocument/2006/relationships/webSettings" Target="webSettings.xml"/><Relationship Id="rId10" Type="http://schemas.openxmlformats.org/officeDocument/2006/relationships/hyperlink" Target="mailto:ethics@sekologistics.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6ACD5-C03F-4337-922F-01DCF7005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2023-08-30T01:05:00Z</dcterms:created>
  <dcterms:modified xsi:type="dcterms:W3CDTF">2023-09-03T11:11:00Z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2023-08-30T01:30:42Z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ab8da909-bbd8-440c-8594-f2decc81a395</vt:lpwstr>
  </property>
  <property fmtid="{D5CDD505-2E9C-101B-9397-08002B2CF9AE}" pid="7" name="MSIP_Label_defa4170-0d19-0005-0004-bc88714345d2_ActionId">
    <vt:lpwstr>527d2437-8392-4c31-8016-0942ab2b2b65</vt:lpwstr>
  </property>
  <property fmtid="{D5CDD505-2E9C-101B-9397-08002B2CF9AE}" pid="8" name="MSIP_Label_defa4170-0d19-0005-0004-bc88714345d2_ContentBits">
    <vt:lpwstr>0</vt:lpwstr>
  </property>
</Properties>
</file>