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3C5D" w14:textId="77777777" w:rsidR="007A4481" w:rsidRDefault="007A4481">
      <w:pPr>
        <w:pStyle w:val="BodyText"/>
        <w:ind w:left="0"/>
        <w:rPr>
          <w:sz w:val="20"/>
        </w:rPr>
      </w:pPr>
    </w:p>
    <w:p w14:paraId="69EFB0E5" w14:textId="77777777" w:rsidR="007A4481" w:rsidRDefault="007A4481">
      <w:pPr>
        <w:pStyle w:val="BodyText"/>
        <w:spacing w:before="10"/>
        <w:ind w:left="0"/>
        <w:rPr>
          <w:sz w:val="21"/>
        </w:rPr>
      </w:pPr>
    </w:p>
    <w:p w14:paraId="2B623DCC" w14:textId="77777777" w:rsidR="007A4481" w:rsidRDefault="00000000">
      <w:pPr>
        <w:bidi/>
        <w:ind w:left="2602" w:right="3434"/>
        <w:jc w:val="center"/>
        <w:rPr>
          <w:b/>
          <w:sz w:val="24"/>
        </w:rPr>
      </w:pPr>
      <w:r>
        <w:rPr>
          <w:noProof/>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Pr>
          <w:b/>
          <w:bCs/>
          <w:sz w:val="24"/>
        </w:rPr>
        <w:t>SEKO Logistics</w:t>
      </w:r>
    </w:p>
    <w:p w14:paraId="72E99791" w14:textId="77777777" w:rsidR="007A4481" w:rsidRDefault="00000000">
      <w:pPr>
        <w:bidi/>
        <w:spacing w:before="22"/>
        <w:ind w:left="2602" w:right="3442"/>
        <w:jc w:val="center"/>
        <w:rPr>
          <w:b/>
          <w:sz w:val="24"/>
        </w:rPr>
      </w:pPr>
      <w:r>
        <w:rPr>
          <w:b/>
          <w:bCs/>
          <w:sz w:val="24"/>
          <w:rtl/>
          <w:lang w:bidi="ar"/>
        </w:rPr>
        <w:t>السياسة العالمية للاحتفاظ بالوثائق وإتلافها</w:t>
      </w:r>
    </w:p>
    <w:p w14:paraId="06689B6D" w14:textId="77777777" w:rsidR="007A4481" w:rsidRDefault="007A4481">
      <w:pPr>
        <w:pStyle w:val="BodyText"/>
        <w:ind w:left="0"/>
        <w:rPr>
          <w:b/>
          <w:sz w:val="20"/>
        </w:rPr>
      </w:pPr>
    </w:p>
    <w:p w14:paraId="761F60E9" w14:textId="77777777" w:rsidR="007A4481" w:rsidRDefault="007A4481">
      <w:pPr>
        <w:pStyle w:val="BodyText"/>
        <w:spacing w:before="6"/>
        <w:ind w:left="0"/>
        <w:rPr>
          <w:b/>
          <w:sz w:val="21"/>
        </w:rPr>
      </w:pPr>
    </w:p>
    <w:p w14:paraId="2CD5D351" w14:textId="77777777" w:rsidR="007A4481" w:rsidRDefault="00000000">
      <w:pPr>
        <w:bidi/>
        <w:spacing w:before="1"/>
        <w:ind w:left="540"/>
        <w:rPr>
          <w:b/>
          <w:sz w:val="24"/>
        </w:rPr>
      </w:pPr>
      <w:r>
        <w:rPr>
          <w:b/>
          <w:bCs/>
          <w:sz w:val="24"/>
          <w:rtl/>
          <w:lang w:bidi="ar"/>
        </w:rPr>
        <w:t>تاريخ الإصدار: 21 مايو 2010 ؛ بصيغته المنقحة والمعاد إصدارها في 11 مايو 2023</w:t>
      </w:r>
    </w:p>
    <w:p w14:paraId="221889E4" w14:textId="77777777" w:rsidR="007A4481" w:rsidRDefault="007A4481">
      <w:pPr>
        <w:pStyle w:val="BodyText"/>
        <w:ind w:left="0"/>
        <w:rPr>
          <w:b/>
          <w:sz w:val="26"/>
        </w:rPr>
      </w:pPr>
    </w:p>
    <w:p w14:paraId="226EC3E6" w14:textId="77777777" w:rsidR="007A4481" w:rsidRDefault="00000000">
      <w:pPr>
        <w:bidi/>
        <w:spacing w:before="154"/>
        <w:ind w:left="540"/>
        <w:rPr>
          <w:b/>
          <w:sz w:val="24"/>
        </w:rPr>
      </w:pPr>
      <w:r>
        <w:rPr>
          <w:b/>
          <w:bCs/>
          <w:sz w:val="24"/>
          <w:rtl/>
          <w:lang w:bidi="ar"/>
        </w:rPr>
        <w:t>المقدمة</w:t>
      </w:r>
    </w:p>
    <w:p w14:paraId="0E5E20C1" w14:textId="77777777" w:rsidR="007A4481" w:rsidRDefault="00000000">
      <w:pPr>
        <w:pStyle w:val="ListParagraph"/>
        <w:numPr>
          <w:ilvl w:val="0"/>
          <w:numId w:val="1"/>
        </w:numPr>
        <w:tabs>
          <w:tab w:val="left" w:pos="756"/>
        </w:tabs>
        <w:bidi/>
        <w:spacing w:before="3" w:line="275" w:lineRule="exact"/>
        <w:rPr>
          <w:b/>
          <w:sz w:val="24"/>
        </w:rPr>
      </w:pPr>
      <w:r>
        <w:rPr>
          <w:b/>
          <w:bCs/>
          <w:sz w:val="24"/>
          <w:rtl/>
          <w:lang w:bidi="ar"/>
        </w:rPr>
        <w:t>الغرض.</w:t>
      </w:r>
    </w:p>
    <w:p w14:paraId="4C1B498E" w14:textId="77777777" w:rsidR="007A4481" w:rsidRDefault="00000000">
      <w:pPr>
        <w:pStyle w:val="BodyText"/>
        <w:bidi/>
        <w:ind w:right="1369"/>
      </w:pPr>
      <w:r>
        <w:rPr>
          <w:rtl/>
          <w:lang w:bidi="ar"/>
        </w:rPr>
        <w:t xml:space="preserve">تعتبر </w:t>
      </w:r>
      <w:r>
        <w:t>SEKO Global Logistics Network, LLC</w:t>
      </w:r>
      <w:r>
        <w:rPr>
          <w:rtl/>
          <w:lang w:bidi="ar"/>
        </w:rPr>
        <w:t xml:space="preserve"> وشركاتها الفرعية (يشار إليها مجتمعة باسم "</w:t>
      </w:r>
      <w:r>
        <w:t>SEKO</w:t>
      </w:r>
      <w:r>
        <w:rPr>
          <w:rtl/>
          <w:lang w:bidi="ar"/>
        </w:rPr>
        <w:t>" أو الشركة ") سجلاتها التجارية والمؤسسية أصولًا مهمة. تتضمن سجلات الشركة بشكل أساسي جميع السجلات التي تقوم بإنشائها كموظف، سواء كانت ورقية أو إلكترونية. قد يكون السجل واضحًا مثل مذكرة، أو بريد إلكتروني أو عقد أو شيء غير واضح مثل تقويم مكتبي محوسب، أو دفتر مواعيد، أو رسالة فورية.</w:t>
      </w:r>
    </w:p>
    <w:p w14:paraId="4DE1A454" w14:textId="77777777" w:rsidR="007A4481" w:rsidRDefault="007A4481">
      <w:pPr>
        <w:pStyle w:val="BodyText"/>
        <w:spacing w:before="11"/>
        <w:ind w:left="0"/>
        <w:rPr>
          <w:sz w:val="23"/>
        </w:rPr>
      </w:pPr>
    </w:p>
    <w:p w14:paraId="6469F8E4" w14:textId="77777777" w:rsidR="007A4481" w:rsidRDefault="00000000">
      <w:pPr>
        <w:pStyle w:val="BodyText"/>
        <w:bidi/>
        <w:ind w:right="1369"/>
      </w:pPr>
      <w:r>
        <w:rPr>
          <w:rtl/>
          <w:lang w:bidi="ar"/>
        </w:rPr>
        <w:t xml:space="preserve">يتطلب القانون من </w:t>
      </w:r>
      <w:r>
        <w:t>SEKO</w:t>
      </w:r>
      <w:r>
        <w:rPr>
          <w:rtl/>
          <w:lang w:bidi="ar"/>
        </w:rPr>
        <w:t xml:space="preserve"> الاحتفاظ بأنواع معينة من السجلات، عادة لفترة زمنية محددة. قد يؤدي عدم الاحتفاظ بهذه السجلات لتلك الفترات الدنيا إلى تعريضك أنت والشركة للعقوبات والغرامات، أو التسبب في فقدان الحقوق، أو عرقلة العدالة، أو إفساد الأدلة المحتملة في دعوى قضائية، أو وضع الشركة في موضع ازدراء للمحكمة، أو الإضرار بالشركة بشكل خطير في التقاضي.</w:t>
      </w:r>
    </w:p>
    <w:p w14:paraId="507E1C84" w14:textId="77777777" w:rsidR="007A4481" w:rsidRDefault="007A4481">
      <w:pPr>
        <w:pStyle w:val="BodyText"/>
        <w:ind w:left="0"/>
      </w:pPr>
    </w:p>
    <w:p w14:paraId="1118DE0E" w14:textId="77777777" w:rsidR="007A4481" w:rsidRDefault="00000000">
      <w:pPr>
        <w:pStyle w:val="BodyText"/>
        <w:bidi/>
        <w:ind w:right="1472"/>
      </w:pPr>
      <w:r>
        <w:rPr>
          <w:rtl/>
          <w:lang w:bidi="ar"/>
        </w:rPr>
        <w:t>بالإضافة إلى ذلك، يتطلب قانون ساربينز أوكسلي 1 لعام 2002 ("قانون ساربينز أوكسلي") ولوائحه التنظيمية من الشركات الأمريكية الاحتفاظ بأوراق عمل التدقيق والمعلومات ذات الصلة لمدة 7 سنوات بعد انتهاء التدقيق ذي الصلة. يحتوي قانون ساربينز أوكسلي أيضًا على حكمين لعرقلة العدالة يجرمان إتلاف الوثائق أو تغييرها بقصد عرقلة إجراء حكومي. تنطبق أحكام قانون ساربينز أوكسلي هذه على أي شخص وكل شخص، بما في ذلك الشركات العامة، والشركات الخاصة، ومدققي حساباتها، ومحاميهم وأي شخص آخر ينتهك القانون.</w:t>
      </w:r>
    </w:p>
    <w:p w14:paraId="020B7A5C" w14:textId="77777777" w:rsidR="007A4481" w:rsidRDefault="007A4481">
      <w:pPr>
        <w:pStyle w:val="BodyText"/>
        <w:spacing w:before="3"/>
        <w:ind w:left="0"/>
      </w:pPr>
    </w:p>
    <w:p w14:paraId="0D61C28A" w14:textId="77777777" w:rsidR="007A4481" w:rsidRDefault="00000000">
      <w:pPr>
        <w:pStyle w:val="BodyText"/>
        <w:bidi/>
        <w:ind w:right="1389"/>
      </w:pPr>
      <w:r>
        <w:rPr>
          <w:rtl/>
          <w:lang w:bidi="ar"/>
        </w:rPr>
        <w:t xml:space="preserve">لضمان الامتثال لهذه السياسة، تم تفويض الموارد البشرية، والخدمات المكتبية، والامتثال، وتكنولوجيا المعلومات، بالتعاون مع المدير التنفيذي القانوني في </w:t>
      </w:r>
      <w:r>
        <w:t>SEKO</w:t>
      </w:r>
      <w:r>
        <w:rPr>
          <w:rtl/>
          <w:lang w:bidi="ar"/>
        </w:rPr>
        <w:t>، بالإشراف العام والمسؤولية عن هذه السياسة. ستقوم الموارد البشرية والامتثال بتنسيق تعليم وتدريب الموظفين وستقوم بتحديث هذه السياسة بشكل دوري بمساعدة المدير التنفيذي القانوني؛ وستضمن تكنولوجيا المعلومات الامتثال لهذه السياسة فيما يتعلق بالسجلات الإلكترونية؛ وستضمن الخدمات المكتبية الامتثال لهذه السياسة فيما يتعلق بتخزين السجلات المادية واسترجاعها (بما في ذلك أي تخزين خارج الموقع وإتلافها واسترجاعها) وتنسيق عمليات الإتلاف في الظروف المناسبة.</w:t>
      </w:r>
    </w:p>
    <w:p w14:paraId="7A70D490" w14:textId="77777777" w:rsidR="007A4481" w:rsidRDefault="007A4481">
      <w:pPr>
        <w:pStyle w:val="BodyText"/>
        <w:spacing w:before="10"/>
        <w:ind w:left="0"/>
        <w:rPr>
          <w:sz w:val="23"/>
        </w:rPr>
      </w:pPr>
    </w:p>
    <w:p w14:paraId="5597A481" w14:textId="77777777" w:rsidR="007A4481" w:rsidRDefault="00000000">
      <w:pPr>
        <w:pStyle w:val="BodyText"/>
        <w:bidi/>
        <w:ind w:right="1369"/>
      </w:pPr>
      <w:r>
        <w:rPr>
          <w:rtl/>
          <w:lang w:bidi="ar"/>
        </w:rPr>
        <w:t xml:space="preserve">تتوقع </w:t>
      </w:r>
      <w:r>
        <w:t>SEKO</w:t>
      </w:r>
      <w:r>
        <w:rPr>
          <w:rtl/>
          <w:lang w:bidi="ar"/>
        </w:rPr>
        <w:t xml:space="preserve"> من جميع الموظفين الامتثال الكامل لأي سياسات وجداول زمنية للاحتفاظ بالسجلات المنشورة أو إتلافها. تنطبق هذه السياسة على جميع سجلات الشركة، أو نسخ أو مقتطفات أو ملخصات لهذه السجلات، سواء تم الاحتفاظ بها في الموقع أو خارج الموقع أو في حاسوب شخصي أو جهاز آخر، أو في ملفات الموظفين الشخصية أو الخاصة بالأعمال.</w:t>
      </w:r>
    </w:p>
    <w:p w14:paraId="358EBD02" w14:textId="77777777" w:rsidR="007A4481" w:rsidRDefault="007A4481">
      <w:pPr>
        <w:pStyle w:val="BodyText"/>
        <w:ind w:left="0"/>
        <w:rPr>
          <w:sz w:val="20"/>
        </w:rPr>
      </w:pPr>
    </w:p>
    <w:p w14:paraId="3FF5CEE4" w14:textId="77777777" w:rsidR="007A4481" w:rsidRDefault="007A4481">
      <w:pPr>
        <w:pStyle w:val="BodyText"/>
        <w:ind w:left="0"/>
        <w:rPr>
          <w:sz w:val="20"/>
        </w:rPr>
      </w:pPr>
    </w:p>
    <w:p w14:paraId="540EE083" w14:textId="77777777" w:rsidR="007A4481" w:rsidRDefault="007A4481">
      <w:pPr>
        <w:pStyle w:val="BodyText"/>
        <w:ind w:left="0"/>
        <w:rPr>
          <w:sz w:val="20"/>
        </w:rPr>
      </w:pPr>
    </w:p>
    <w:p w14:paraId="59C7D9B4" w14:textId="77777777" w:rsidR="007A4481" w:rsidRDefault="007A4481">
      <w:pPr>
        <w:pStyle w:val="BodyText"/>
        <w:ind w:left="0"/>
        <w:rPr>
          <w:sz w:val="20"/>
        </w:rPr>
      </w:pPr>
    </w:p>
    <w:p w14:paraId="62F7BF9B" w14:textId="77777777" w:rsidR="007A4481" w:rsidRDefault="007A4481">
      <w:pPr>
        <w:pStyle w:val="BodyText"/>
        <w:ind w:left="0"/>
        <w:rPr>
          <w:sz w:val="20"/>
        </w:rPr>
      </w:pPr>
    </w:p>
    <w:p w14:paraId="557E88C1" w14:textId="77777777" w:rsidR="007A4481" w:rsidRDefault="007A4481">
      <w:pPr>
        <w:pStyle w:val="BodyText"/>
        <w:spacing w:before="3"/>
        <w:ind w:left="0"/>
        <w:rPr>
          <w:sz w:val="23"/>
        </w:rPr>
      </w:pPr>
    </w:p>
    <w:p w14:paraId="72514015" w14:textId="77777777" w:rsidR="007A4481" w:rsidRDefault="00000000">
      <w:pPr>
        <w:pStyle w:val="BodyText"/>
        <w:bidi/>
        <w:ind w:right="1670"/>
        <w:jc w:val="both"/>
      </w:pPr>
      <w:r>
        <w:rPr>
          <w:rtl/>
          <w:lang w:bidi="ar"/>
        </w:rPr>
        <w:t>حدد قانون ساربينز أوكسلي 1 لعام 2002 متطلبات واسعة النطاق لإصدار الشهادات والضوابط التي تتطلب توثيقًا مكثفًا والاحتفاظ بالسجلات (القسمان 302 و 404) وتجريم إتلاف المستندات بهدف عرقلة الإجراءات الرسمية.</w:t>
      </w:r>
    </w:p>
    <w:p w14:paraId="32145C04" w14:textId="77777777" w:rsidR="007A4481" w:rsidRDefault="007A4481">
      <w:pPr>
        <w:jc w:val="both"/>
        <w:sectPr w:rsidR="007A4481">
          <w:type w:val="continuous"/>
          <w:pgSz w:w="12240" w:h="15840"/>
          <w:pgMar w:top="960" w:right="60" w:bottom="280" w:left="900" w:header="720" w:footer="720" w:gutter="0"/>
          <w:cols w:space="720"/>
        </w:sectPr>
      </w:pPr>
    </w:p>
    <w:p w14:paraId="521ADEFE" w14:textId="77777777" w:rsidR="007A4481" w:rsidRDefault="00000000">
      <w:pPr>
        <w:pStyle w:val="BodyText"/>
        <w:bidi/>
        <w:spacing w:before="2"/>
        <w:ind w:right="1369"/>
      </w:pPr>
      <w:r>
        <w:rPr>
          <w:rtl/>
          <w:lang w:bidi="ar"/>
        </w:rPr>
        <w:lastRenderedPageBreak/>
        <w:t xml:space="preserve">إلى متى يجب الاحتفاظ بمستندات معينة وكيف يجب إتلاف السجلات. وُضعت هذه السياسة لضمان الامتثال للقوانين، واللوائح التنظيمية الفيدرالية، وقوانين الولايات، والقضاء على الإتلاف العرضي أو البريء للسجلات وتسهيل عمليات </w:t>
      </w:r>
      <w:r>
        <w:t>SEKO</w:t>
      </w:r>
      <w:r>
        <w:rPr>
          <w:rtl/>
          <w:lang w:bidi="ar"/>
        </w:rPr>
        <w:t xml:space="preserve"> من خلال تعزيز الكفاءة وتحرير مساحة تخزين ذات قيمة.</w:t>
      </w:r>
    </w:p>
    <w:p w14:paraId="6BE9926F" w14:textId="77777777" w:rsidR="007A4481" w:rsidRDefault="007A4481">
      <w:pPr>
        <w:pStyle w:val="BodyText"/>
        <w:spacing w:before="10"/>
        <w:ind w:left="0"/>
        <w:rPr>
          <w:sz w:val="23"/>
        </w:rPr>
      </w:pPr>
    </w:p>
    <w:p w14:paraId="7AA39632" w14:textId="77777777" w:rsidR="007A4481" w:rsidRDefault="00000000">
      <w:pPr>
        <w:bidi/>
        <w:spacing w:after="6"/>
        <w:ind w:left="540"/>
        <w:rPr>
          <w:b/>
          <w:sz w:val="24"/>
        </w:rPr>
      </w:pPr>
      <w:r>
        <w:rPr>
          <w:b/>
          <w:bCs/>
          <w:sz w:val="24"/>
          <w:rtl/>
          <w:lang w:bidi="ar"/>
        </w:rPr>
        <w:t>هناك ثلاثة أنواع من سجلات الشركة: مؤقتة، ونهائية، ودائمة</w:t>
      </w:r>
    </w:p>
    <w:tbl>
      <w:tblPr>
        <w:bidiVisual/>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14:paraId="51195FFE" w14:textId="77777777" w:rsidTr="00C26E34">
        <w:trPr>
          <w:trHeight w:val="277"/>
        </w:trPr>
        <w:tc>
          <w:tcPr>
            <w:tcW w:w="1710" w:type="dxa"/>
          </w:tcPr>
          <w:p w14:paraId="70C5EF54" w14:textId="77777777" w:rsidR="007A4481" w:rsidRDefault="00000000">
            <w:pPr>
              <w:pStyle w:val="TableParagraph"/>
              <w:bidi/>
              <w:spacing w:line="258" w:lineRule="exact"/>
              <w:ind w:left="107"/>
              <w:rPr>
                <w:b/>
                <w:sz w:val="24"/>
              </w:rPr>
            </w:pPr>
            <w:r>
              <w:rPr>
                <w:b/>
                <w:bCs/>
                <w:sz w:val="24"/>
                <w:rtl/>
                <w:lang w:bidi="ar"/>
              </w:rPr>
              <w:t>نوع السجل</w:t>
            </w:r>
          </w:p>
        </w:tc>
        <w:tc>
          <w:tcPr>
            <w:tcW w:w="6248" w:type="dxa"/>
          </w:tcPr>
          <w:p w14:paraId="747B4A65" w14:textId="77777777" w:rsidR="007A4481" w:rsidRDefault="00000000">
            <w:pPr>
              <w:pStyle w:val="TableParagraph"/>
              <w:bidi/>
              <w:spacing w:line="258" w:lineRule="exact"/>
              <w:ind w:left="107"/>
              <w:rPr>
                <w:b/>
                <w:sz w:val="24"/>
              </w:rPr>
            </w:pPr>
            <w:r>
              <w:rPr>
                <w:b/>
                <w:bCs/>
                <w:sz w:val="24"/>
                <w:rtl/>
                <w:lang w:bidi="ar"/>
              </w:rPr>
              <w:t>التعريف</w:t>
            </w:r>
          </w:p>
        </w:tc>
        <w:tc>
          <w:tcPr>
            <w:tcW w:w="2070" w:type="dxa"/>
          </w:tcPr>
          <w:p w14:paraId="38E1FFA6" w14:textId="77777777" w:rsidR="007A4481" w:rsidRDefault="00000000">
            <w:pPr>
              <w:pStyle w:val="TableParagraph"/>
              <w:bidi/>
              <w:spacing w:line="258" w:lineRule="exact"/>
              <w:ind w:left="106"/>
              <w:rPr>
                <w:b/>
                <w:sz w:val="24"/>
              </w:rPr>
            </w:pPr>
            <w:r>
              <w:rPr>
                <w:b/>
                <w:bCs/>
                <w:sz w:val="24"/>
                <w:rtl/>
                <w:lang w:bidi="ar"/>
              </w:rPr>
              <w:t>الاحتفاظ</w:t>
            </w:r>
          </w:p>
        </w:tc>
      </w:tr>
      <w:tr w:rsidR="007A4481" w14:paraId="503CAD03" w14:textId="77777777" w:rsidTr="00C26E34">
        <w:trPr>
          <w:trHeight w:val="1656"/>
        </w:trPr>
        <w:tc>
          <w:tcPr>
            <w:tcW w:w="1710" w:type="dxa"/>
            <w:vAlign w:val="center"/>
          </w:tcPr>
          <w:p w14:paraId="3B43DD07" w14:textId="77777777" w:rsidR="007A4481" w:rsidRDefault="00000000" w:rsidP="00C26E34">
            <w:pPr>
              <w:pStyle w:val="TableParagraph"/>
              <w:bidi/>
              <w:spacing w:line="237" w:lineRule="auto"/>
              <w:ind w:left="107" w:right="412"/>
              <w:rPr>
                <w:b/>
                <w:sz w:val="24"/>
              </w:rPr>
            </w:pPr>
            <w:r>
              <w:rPr>
                <w:b/>
                <w:bCs/>
                <w:sz w:val="24"/>
                <w:rtl/>
                <w:lang w:bidi="ar"/>
              </w:rPr>
              <w:t>السجلات المؤقتة</w:t>
            </w:r>
          </w:p>
        </w:tc>
        <w:tc>
          <w:tcPr>
            <w:tcW w:w="6248" w:type="dxa"/>
            <w:vAlign w:val="center"/>
          </w:tcPr>
          <w:p w14:paraId="05924AB5" w14:textId="5E9C13EA" w:rsidR="007A4481" w:rsidRDefault="00000000" w:rsidP="00C26E34">
            <w:pPr>
              <w:pStyle w:val="TableParagraph"/>
              <w:bidi/>
              <w:ind w:left="107" w:right="175"/>
              <w:rPr>
                <w:sz w:val="24"/>
              </w:rPr>
            </w:pPr>
            <w:r>
              <w:rPr>
                <w:sz w:val="24"/>
                <w:rtl/>
                <w:lang w:bidi="ar"/>
              </w:rPr>
              <w:t>تشمل السجلات المؤقتة جميع مستندات الأعمال التي يُقصد أن تحل محلها السجلات النهائية أو السجلات الدائمة، أو التي يُقصد استخدامها فقط لفترة زمنية محدودة، بما في ذلك، على سبيل المثال لا الحصر، المذكرات المكتوبة، والإملاءات المقرر كتابتها في المستقبل، والتذكيرات، وقوائم المهام، والتقارير، والمسودات، والمراسلات الداخلية المتعلقة بالعميل أو معاملات الأعمال.</w:t>
            </w:r>
          </w:p>
        </w:tc>
        <w:tc>
          <w:tcPr>
            <w:tcW w:w="2070" w:type="dxa"/>
            <w:vAlign w:val="center"/>
          </w:tcPr>
          <w:p w14:paraId="7896E784" w14:textId="50DC3994" w:rsidR="007A4481" w:rsidRDefault="00000000" w:rsidP="00C26E34">
            <w:pPr>
              <w:pStyle w:val="TableParagraph"/>
              <w:bidi/>
              <w:ind w:left="106" w:right="111"/>
              <w:rPr>
                <w:sz w:val="24"/>
              </w:rPr>
            </w:pPr>
            <w:r>
              <w:rPr>
                <w:sz w:val="24"/>
                <w:rtl/>
                <w:lang w:bidi="ar"/>
              </w:rPr>
              <w:t>يمكن إتلاف السجلات المؤقتة أو حذفها نهائيًا إذا لم تعد هناك حاجة إليها.</w:t>
            </w:r>
          </w:p>
        </w:tc>
      </w:tr>
      <w:tr w:rsidR="007A4481" w14:paraId="39974215" w14:textId="77777777" w:rsidTr="00C26E34">
        <w:trPr>
          <w:trHeight w:val="1929"/>
        </w:trPr>
        <w:tc>
          <w:tcPr>
            <w:tcW w:w="1710" w:type="dxa"/>
            <w:vAlign w:val="center"/>
          </w:tcPr>
          <w:p w14:paraId="3D20B4A5" w14:textId="77777777" w:rsidR="007A4481" w:rsidRDefault="00000000" w:rsidP="00C26E34">
            <w:pPr>
              <w:pStyle w:val="TableParagraph"/>
              <w:bidi/>
              <w:spacing w:before="224"/>
              <w:ind w:left="107"/>
              <w:rPr>
                <w:b/>
                <w:sz w:val="24"/>
              </w:rPr>
            </w:pPr>
            <w:r>
              <w:rPr>
                <w:b/>
                <w:bCs/>
                <w:sz w:val="24"/>
                <w:rtl/>
                <w:lang w:bidi="ar"/>
              </w:rPr>
              <w:t>السجلات النهائية</w:t>
            </w:r>
          </w:p>
        </w:tc>
        <w:tc>
          <w:tcPr>
            <w:tcW w:w="6248" w:type="dxa"/>
            <w:vAlign w:val="center"/>
          </w:tcPr>
          <w:p w14:paraId="7C2E9A13" w14:textId="4C4FD08D" w:rsidR="007A4481" w:rsidRDefault="00000000" w:rsidP="00C26E34">
            <w:pPr>
              <w:pStyle w:val="TableParagraph"/>
              <w:bidi/>
              <w:ind w:left="107"/>
              <w:rPr>
                <w:sz w:val="24"/>
              </w:rPr>
            </w:pPr>
            <w:r>
              <w:rPr>
                <w:sz w:val="24"/>
                <w:rtl/>
                <w:lang w:bidi="ar"/>
              </w:rPr>
              <w:t>تشمل السجلات النهائية جميع مستندات الأعمال التي لا يمكن استبدالها بالتعديل أو الإضافة، بما في ذلك على سبيل المثال لا الحصر المستندات المقدمة (أو المرسلة عبر النموذج الإلكتروني) إلى أي طرف خارجي لا يعمل لدى الشركة، أو إلى أي جهة حكومية؛ والمذكرات والتقارير النهائية؛ والمراسلات؛ والمذكرات الهاتفية المكتوبة بخط اليد التي لم يتم نسخها؛ والمذكرات؛ والمواصفات؛ وقيود دفتر اليومية؛ وتقديرات التكلفة؛ إلخ.</w:t>
            </w:r>
          </w:p>
        </w:tc>
        <w:tc>
          <w:tcPr>
            <w:tcW w:w="2070" w:type="dxa"/>
            <w:vAlign w:val="center"/>
          </w:tcPr>
          <w:p w14:paraId="16439426" w14:textId="7058BBFF" w:rsidR="007A4481" w:rsidRDefault="00000000" w:rsidP="00C26E34">
            <w:pPr>
              <w:pStyle w:val="TableParagraph"/>
              <w:bidi/>
              <w:ind w:left="106" w:right="161"/>
              <w:rPr>
                <w:sz w:val="24"/>
              </w:rPr>
            </w:pPr>
            <w:r>
              <w:rPr>
                <w:sz w:val="24"/>
                <w:rtl/>
                <w:lang w:bidi="ar"/>
              </w:rPr>
              <w:t>يجب التخلص من جميع السجلات النهائية وفقًا لجدول الاحتفاظ بالمستندات المرفق.</w:t>
            </w:r>
          </w:p>
        </w:tc>
      </w:tr>
      <w:tr w:rsidR="007A4481" w14:paraId="1EC8F283" w14:textId="77777777" w:rsidTr="00C26E34">
        <w:trPr>
          <w:trHeight w:val="2486"/>
        </w:trPr>
        <w:tc>
          <w:tcPr>
            <w:tcW w:w="1710" w:type="dxa"/>
            <w:vAlign w:val="center"/>
          </w:tcPr>
          <w:p w14:paraId="154F71B2" w14:textId="77777777" w:rsidR="007A4481" w:rsidRDefault="00000000" w:rsidP="00C26E34">
            <w:pPr>
              <w:pStyle w:val="TableParagraph"/>
              <w:bidi/>
              <w:ind w:left="107"/>
              <w:rPr>
                <w:b/>
                <w:sz w:val="24"/>
              </w:rPr>
            </w:pPr>
            <w:r>
              <w:rPr>
                <w:b/>
                <w:bCs/>
                <w:sz w:val="24"/>
                <w:rtl/>
                <w:lang w:bidi="ar"/>
              </w:rPr>
              <w:t>السجلات الدائمة</w:t>
            </w:r>
          </w:p>
        </w:tc>
        <w:tc>
          <w:tcPr>
            <w:tcW w:w="6248" w:type="dxa"/>
            <w:vAlign w:val="center"/>
          </w:tcPr>
          <w:p w14:paraId="01A36D4C" w14:textId="06F54CBB" w:rsidR="007A4481" w:rsidRDefault="00000000" w:rsidP="00C26E34">
            <w:pPr>
              <w:pStyle w:val="TableParagraph"/>
              <w:bidi/>
              <w:ind w:left="107"/>
              <w:rPr>
                <w:sz w:val="24"/>
              </w:rPr>
            </w:pPr>
            <w:r>
              <w:rPr>
                <w:sz w:val="24"/>
                <w:rtl/>
                <w:lang w:bidi="ar"/>
              </w:rPr>
              <w:t>تشمل السجلات الدائمة جميع مستندات الأعمال التي تحدد نطاق عمل الشركة، والتعبير عن الآراء المهنية، والمواد البحثية والمرجعية. وتشمل هذه السجلات، على سبيل المثال لا الحصر، العقود، والمقترحات، والمواد التي تشير إلى آراء الخبراء، والبيانات المالية، والإقرارات الضريبية، وسجلات الرواتب، وتسجيلات حقوق النشر، والعلامات التجارية، وبراءات الاختراع، وغيرها من المستندات المتعلقة بحقوق الملكية الفكرية، والتقارير البيئية، والسجلات العقارية، ومحاضر الاجتماعات الرسمية. يمكن أن تكون هذه السجلات في شكل ورقي أو إلكتروني.</w:t>
            </w:r>
          </w:p>
        </w:tc>
        <w:tc>
          <w:tcPr>
            <w:tcW w:w="2070" w:type="dxa"/>
            <w:vAlign w:val="center"/>
          </w:tcPr>
          <w:p w14:paraId="771FECB6" w14:textId="77777777" w:rsidR="007A4481" w:rsidRDefault="00000000" w:rsidP="00C26E34">
            <w:pPr>
              <w:pStyle w:val="TableParagraph"/>
              <w:bidi/>
              <w:ind w:left="106" w:right="153"/>
              <w:rPr>
                <w:sz w:val="24"/>
              </w:rPr>
            </w:pPr>
            <w:r>
              <w:rPr>
                <w:sz w:val="24"/>
                <w:rtl/>
                <w:lang w:bidi="ar"/>
              </w:rPr>
              <w:t>يجب الاحتفاظ بجميع المستندات الدائمة إلى أجل غير مسمى.</w:t>
            </w:r>
          </w:p>
        </w:tc>
      </w:tr>
    </w:tbl>
    <w:p w14:paraId="1E0C50C0" w14:textId="77777777" w:rsidR="007A4481" w:rsidRDefault="007A4481">
      <w:pPr>
        <w:pStyle w:val="BodyText"/>
        <w:ind w:left="0"/>
        <w:rPr>
          <w:b/>
          <w:sz w:val="26"/>
        </w:rPr>
      </w:pPr>
    </w:p>
    <w:p w14:paraId="5982A253" w14:textId="77777777" w:rsidR="007A4481" w:rsidRDefault="00000000">
      <w:pPr>
        <w:pStyle w:val="ListParagraph"/>
        <w:numPr>
          <w:ilvl w:val="0"/>
          <w:numId w:val="1"/>
        </w:numPr>
        <w:tabs>
          <w:tab w:val="left" w:pos="848"/>
        </w:tabs>
        <w:bidi/>
        <w:spacing w:before="160"/>
        <w:ind w:left="847" w:hanging="308"/>
        <w:jc w:val="both"/>
        <w:rPr>
          <w:b/>
          <w:sz w:val="24"/>
        </w:rPr>
      </w:pPr>
      <w:r>
        <w:rPr>
          <w:b/>
          <w:bCs/>
          <w:sz w:val="24"/>
          <w:rtl/>
          <w:lang w:bidi="ar"/>
        </w:rPr>
        <w:t>فترات الاحتفاظ وحفظ المستندات بشكل عام</w:t>
      </w:r>
    </w:p>
    <w:p w14:paraId="039A3C6C" w14:textId="77777777" w:rsidR="007A4481" w:rsidRDefault="00000000">
      <w:pPr>
        <w:pStyle w:val="BodyText"/>
        <w:bidi/>
        <w:spacing w:before="22" w:line="259" w:lineRule="auto"/>
        <w:ind w:right="1534"/>
        <w:jc w:val="both"/>
      </w:pPr>
      <w:r>
        <w:rPr>
          <w:rtl/>
          <w:lang w:bidi="ar"/>
        </w:rPr>
        <w:t>لا يجوز لموظفي الشركة تخزين أي سجلات نهائية أو دائمة على محركات الأقراص الصلبة الثابتة المحلية لأجهزة الحاسوب المخصصة للشركة، أو أي سجلات على أي أجهزة حاسوب غير تابعة للشركة أو محركات أقراص محمولة. يجب حفظ السجلات فقط في منصات برامج الشركة (حسب الاقتضاء) وفي محركات الأقراص المشتركة.</w:t>
      </w:r>
    </w:p>
    <w:p w14:paraId="4F0CAEC9" w14:textId="77777777" w:rsidR="007A4481" w:rsidRDefault="00000000">
      <w:pPr>
        <w:pStyle w:val="BodyText"/>
        <w:bidi/>
        <w:spacing w:before="161" w:line="259" w:lineRule="auto"/>
        <w:ind w:right="1461"/>
        <w:jc w:val="both"/>
      </w:pPr>
      <w:r>
        <w:rPr>
          <w:rtl/>
          <w:lang w:bidi="ar"/>
        </w:rPr>
        <w:t xml:space="preserve">تتبع </w:t>
      </w:r>
      <w:r>
        <w:t>SEKO</w:t>
      </w:r>
      <w:r>
        <w:rPr>
          <w:rtl/>
          <w:lang w:bidi="ar"/>
        </w:rPr>
        <w:t xml:space="preserve"> إجراءات الاحتفاظ بالمستندات الموضحة أدناه. يجب الاحتفاظ بالمستندات غير المدرجة، ولكنها تشبه إلى حد كبير تلك المدرجة في الجدول، للمدة الزمنية المناسبة.</w:t>
      </w:r>
    </w:p>
    <w:p w14:paraId="349A2DA9" w14:textId="77777777" w:rsidR="007A4481" w:rsidRDefault="00000000">
      <w:pPr>
        <w:pStyle w:val="BodyText"/>
        <w:bidi/>
        <w:spacing w:before="153"/>
        <w:ind w:right="1369"/>
      </w:pPr>
      <w:r>
        <w:rPr>
          <w:rtl/>
          <w:lang w:bidi="ar"/>
        </w:rPr>
        <w:t>ملاحظة: تخضع الشركات الخاضعة للتنظيم لمتطلبات محددة أخرى، وتفرض القوانين واللوائح  التنظيمية الأجنبيةـ والمحلية، والخاصة بالولايات متطلبات محددة أخرى، مثل توجيه الخصوصية للاتحاد الأوروبي. ستختلف قوانين التقادم ذات الصلة في الدول الأجنبية عن تلك الموجودة في</w:t>
      </w:r>
    </w:p>
    <w:p w14:paraId="19D681AA" w14:textId="77777777" w:rsidR="007A4481" w:rsidRDefault="007A4481">
      <w:pPr>
        <w:sectPr w:rsidR="007A4481">
          <w:headerReference w:type="default" r:id="rId8"/>
          <w:pgSz w:w="12240" w:h="15840"/>
          <w:pgMar w:top="1980" w:right="60" w:bottom="280" w:left="900" w:header="667" w:footer="0" w:gutter="0"/>
          <w:cols w:space="720"/>
        </w:sectPr>
      </w:pPr>
    </w:p>
    <w:p w14:paraId="5539255B" w14:textId="77777777" w:rsidR="007A4481" w:rsidRDefault="007A4481">
      <w:pPr>
        <w:pStyle w:val="BodyText"/>
        <w:spacing w:before="2"/>
        <w:ind w:left="0"/>
        <w:rPr>
          <w:sz w:val="16"/>
        </w:rPr>
      </w:pPr>
    </w:p>
    <w:p w14:paraId="0C5B02A8" w14:textId="77777777" w:rsidR="007A4481" w:rsidRDefault="00000000">
      <w:pPr>
        <w:pStyle w:val="ListParagraph"/>
        <w:numPr>
          <w:ilvl w:val="0"/>
          <w:numId w:val="1"/>
        </w:numPr>
        <w:tabs>
          <w:tab w:val="left" w:pos="939"/>
        </w:tabs>
        <w:bidi/>
        <w:spacing w:before="90"/>
        <w:ind w:left="938" w:hanging="399"/>
        <w:rPr>
          <w:b/>
          <w:sz w:val="24"/>
        </w:rPr>
      </w:pPr>
      <w:r>
        <w:rPr>
          <w:b/>
          <w:bCs/>
          <w:sz w:val="24"/>
          <w:rtl/>
          <w:lang w:bidi="ar"/>
        </w:rPr>
        <w:t>الجدول العالمي للاحتفاظ بالمستندات</w:t>
      </w:r>
    </w:p>
    <w:tbl>
      <w:tblPr>
        <w:bidiVisual/>
        <w:tblW w:w="9360" w:type="dxa"/>
        <w:tblInd w:w="675" w:type="dxa"/>
        <w:tblLook w:val="04A0" w:firstRow="1" w:lastRow="0" w:firstColumn="1" w:lastColumn="0" w:noHBand="0" w:noVBand="1"/>
      </w:tblPr>
      <w:tblGrid>
        <w:gridCol w:w="7297"/>
        <w:gridCol w:w="2063"/>
      </w:tblGrid>
      <w:tr w:rsidR="00C26E34" w:rsidRPr="00C26E34" w14:paraId="64061ADB" w14:textId="77777777" w:rsidTr="00C26E34">
        <w:trPr>
          <w:trHeight w:val="20"/>
        </w:trPr>
        <w:tc>
          <w:tcPr>
            <w:tcW w:w="7297" w:type="dxa"/>
            <w:tcBorders>
              <w:top w:val="nil"/>
              <w:left w:val="nil"/>
              <w:bottom w:val="nil"/>
              <w:right w:val="nil"/>
            </w:tcBorders>
            <w:shd w:val="clear" w:color="auto" w:fill="auto"/>
            <w:noWrap/>
            <w:vAlign w:val="center"/>
            <w:hideMark/>
          </w:tcPr>
          <w:p w14:paraId="1F694040" w14:textId="1EF6D807" w:rsidR="00C26E34" w:rsidRPr="00C26E34" w:rsidRDefault="00C26E34" w:rsidP="00C26E34">
            <w:pPr>
              <w:widowControl/>
              <w:autoSpaceDE/>
              <w:autoSpaceDN/>
              <w:bidi/>
              <w:ind w:leftChars="-49" w:left="24" w:hangingChars="60" w:hanging="132"/>
            </w:pPr>
            <w:r>
              <w:rPr>
                <w:rtl/>
                <w:lang w:bidi="ar"/>
              </w:rPr>
              <w:t>السجلات المحاسبية والضريبية للشركات</w:t>
            </w:r>
          </w:p>
        </w:tc>
        <w:tc>
          <w:tcPr>
            <w:tcW w:w="2063" w:type="dxa"/>
            <w:tcBorders>
              <w:top w:val="nil"/>
              <w:left w:val="nil"/>
              <w:bottom w:val="nil"/>
              <w:right w:val="nil"/>
            </w:tcBorders>
            <w:shd w:val="clear" w:color="auto" w:fill="auto"/>
            <w:noWrap/>
            <w:vAlign w:val="bottom"/>
            <w:hideMark/>
          </w:tcPr>
          <w:p w14:paraId="23D2AB66" w14:textId="77777777" w:rsidR="00C26E34" w:rsidRPr="00C26E34" w:rsidRDefault="00C26E34" w:rsidP="00C26E34">
            <w:pPr>
              <w:widowControl/>
              <w:autoSpaceDE/>
              <w:autoSpaceDN/>
              <w:ind w:firstLineChars="600" w:firstLine="1320"/>
            </w:pPr>
          </w:p>
        </w:tc>
      </w:tr>
      <w:tr w:rsidR="00C26E34" w:rsidRPr="00C26E34" w14:paraId="0337336F" w14:textId="77777777" w:rsidTr="00C26E34">
        <w:trPr>
          <w:trHeight w:val="20"/>
        </w:trPr>
        <w:tc>
          <w:tcPr>
            <w:tcW w:w="7297"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bidi/>
              <w:ind w:leftChars="-49" w:left="24" w:hangingChars="60" w:hanging="132"/>
            </w:pPr>
            <w:r>
              <w:rPr>
                <w:rtl/>
                <w:lang w:bidi="ar"/>
              </w:rPr>
              <w:t>عمليات التدقيق السنوية</w:t>
            </w:r>
          </w:p>
        </w:tc>
        <w:tc>
          <w:tcPr>
            <w:tcW w:w="2063" w:type="dxa"/>
            <w:tcBorders>
              <w:top w:val="nil"/>
              <w:left w:val="nil"/>
              <w:bottom w:val="nil"/>
              <w:right w:val="nil"/>
            </w:tcBorders>
            <w:shd w:val="clear" w:color="auto" w:fill="auto"/>
            <w:noWrap/>
            <w:vAlign w:val="center"/>
            <w:hideMark/>
          </w:tcPr>
          <w:p w14:paraId="32F1D9A4" w14:textId="068D32C7" w:rsidR="00C26E34" w:rsidRPr="00C26E34" w:rsidRDefault="00C26E34" w:rsidP="00C26E34">
            <w:pPr>
              <w:widowControl/>
              <w:autoSpaceDE/>
              <w:autoSpaceDN/>
              <w:bidi/>
              <w:ind w:firstLineChars="300" w:firstLine="660"/>
            </w:pPr>
            <w:r>
              <w:rPr>
                <w:rtl/>
                <w:lang w:bidi="ar"/>
              </w:rPr>
              <w:t>غير محدد</w:t>
            </w:r>
          </w:p>
        </w:tc>
      </w:tr>
      <w:tr w:rsidR="00C26E34" w:rsidRPr="00C26E34" w14:paraId="40B78E24" w14:textId="77777777" w:rsidTr="00C26E34">
        <w:trPr>
          <w:trHeight w:val="20"/>
        </w:trPr>
        <w:tc>
          <w:tcPr>
            <w:tcW w:w="7297"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bidi/>
              <w:ind w:leftChars="-49" w:left="24" w:hangingChars="60" w:hanging="132"/>
            </w:pPr>
            <w:r>
              <w:rPr>
                <w:rtl/>
                <w:lang w:bidi="ar"/>
              </w:rPr>
              <w:t>القوائم المالية</w:t>
            </w:r>
          </w:p>
        </w:tc>
        <w:tc>
          <w:tcPr>
            <w:tcW w:w="2063" w:type="dxa"/>
            <w:tcBorders>
              <w:top w:val="nil"/>
              <w:left w:val="nil"/>
              <w:bottom w:val="nil"/>
              <w:right w:val="nil"/>
            </w:tcBorders>
            <w:shd w:val="clear" w:color="auto" w:fill="auto"/>
            <w:noWrap/>
            <w:vAlign w:val="center"/>
            <w:hideMark/>
          </w:tcPr>
          <w:p w14:paraId="2612F7C2" w14:textId="19CD0B8F" w:rsidR="00C26E34" w:rsidRPr="00C26E34" w:rsidRDefault="00C26E34" w:rsidP="00C26E34">
            <w:pPr>
              <w:widowControl/>
              <w:autoSpaceDE/>
              <w:autoSpaceDN/>
              <w:bidi/>
              <w:ind w:firstLineChars="300" w:firstLine="660"/>
            </w:pPr>
            <w:r>
              <w:rPr>
                <w:rtl/>
                <w:lang w:bidi="ar"/>
              </w:rPr>
              <w:t>غير محدد</w:t>
            </w:r>
          </w:p>
        </w:tc>
      </w:tr>
      <w:tr w:rsidR="00C26E34" w:rsidRPr="00C26E34" w14:paraId="7414840D" w14:textId="77777777" w:rsidTr="00C26E34">
        <w:trPr>
          <w:trHeight w:val="20"/>
        </w:trPr>
        <w:tc>
          <w:tcPr>
            <w:tcW w:w="7297" w:type="dxa"/>
            <w:tcBorders>
              <w:top w:val="nil"/>
              <w:left w:val="nil"/>
              <w:bottom w:val="nil"/>
              <w:right w:val="nil"/>
            </w:tcBorders>
            <w:shd w:val="clear" w:color="auto" w:fill="auto"/>
            <w:noWrap/>
            <w:vAlign w:val="center"/>
            <w:hideMark/>
          </w:tcPr>
          <w:p w14:paraId="5CD4CB8D" w14:textId="5FF0227C" w:rsidR="00C26E34" w:rsidRPr="00C26E34" w:rsidRDefault="00C26E34" w:rsidP="00C26E34">
            <w:pPr>
              <w:widowControl/>
              <w:autoSpaceDE/>
              <w:autoSpaceDN/>
              <w:bidi/>
              <w:ind w:leftChars="-49" w:left="24" w:hangingChars="60" w:hanging="132"/>
            </w:pPr>
            <w:r>
              <w:rPr>
                <w:rtl/>
                <w:lang w:bidi="ar"/>
              </w:rPr>
              <w:t>الإقرارات الضريبية + أوراق العمل</w:t>
            </w:r>
          </w:p>
        </w:tc>
        <w:tc>
          <w:tcPr>
            <w:tcW w:w="2063" w:type="dxa"/>
            <w:tcBorders>
              <w:top w:val="nil"/>
              <w:left w:val="nil"/>
              <w:bottom w:val="nil"/>
              <w:right w:val="nil"/>
            </w:tcBorders>
            <w:shd w:val="clear" w:color="auto" w:fill="auto"/>
            <w:noWrap/>
            <w:vAlign w:val="center"/>
            <w:hideMark/>
          </w:tcPr>
          <w:p w14:paraId="6A91BD35" w14:textId="1AA69D3C" w:rsidR="00C26E34" w:rsidRPr="00C26E34" w:rsidRDefault="00C26E34" w:rsidP="00C26E34">
            <w:pPr>
              <w:widowControl/>
              <w:autoSpaceDE/>
              <w:autoSpaceDN/>
              <w:bidi/>
              <w:ind w:firstLineChars="300" w:firstLine="660"/>
            </w:pPr>
            <w:r>
              <w:rPr>
                <w:rtl/>
                <w:lang w:bidi="ar"/>
              </w:rPr>
              <w:t>غير محدد</w:t>
            </w:r>
          </w:p>
        </w:tc>
      </w:tr>
      <w:tr w:rsidR="00C26E34" w:rsidRPr="00C26E34" w14:paraId="238FDB22" w14:textId="77777777" w:rsidTr="00C26E34">
        <w:trPr>
          <w:trHeight w:val="20"/>
        </w:trPr>
        <w:tc>
          <w:tcPr>
            <w:tcW w:w="7297" w:type="dxa"/>
            <w:tcBorders>
              <w:top w:val="nil"/>
              <w:left w:val="nil"/>
              <w:bottom w:val="nil"/>
              <w:right w:val="nil"/>
            </w:tcBorders>
            <w:shd w:val="clear" w:color="auto" w:fill="auto"/>
            <w:noWrap/>
            <w:vAlign w:val="center"/>
            <w:hideMark/>
          </w:tcPr>
          <w:p w14:paraId="521AD2D8" w14:textId="3D54B174" w:rsidR="00C26E34" w:rsidRPr="00C26E34" w:rsidRDefault="00C26E34" w:rsidP="00C26E34">
            <w:pPr>
              <w:widowControl/>
              <w:autoSpaceDE/>
              <w:autoSpaceDN/>
              <w:bidi/>
              <w:ind w:leftChars="-49" w:left="24" w:hangingChars="60" w:hanging="132"/>
            </w:pPr>
            <w:r>
              <w:rPr>
                <w:rtl/>
                <w:lang w:bidi="ar"/>
              </w:rPr>
              <w:t>دفاتر الأستاذ للأصول الثابتة؛ دفاتر الأستاذ العامة</w:t>
            </w:r>
          </w:p>
        </w:tc>
        <w:tc>
          <w:tcPr>
            <w:tcW w:w="2063" w:type="dxa"/>
            <w:tcBorders>
              <w:top w:val="nil"/>
              <w:left w:val="nil"/>
              <w:bottom w:val="nil"/>
              <w:right w:val="nil"/>
            </w:tcBorders>
            <w:shd w:val="clear" w:color="auto" w:fill="auto"/>
            <w:noWrap/>
            <w:vAlign w:val="center"/>
            <w:hideMark/>
          </w:tcPr>
          <w:p w14:paraId="6A178680" w14:textId="2F0D7781" w:rsidR="00C26E34" w:rsidRPr="00C26E34" w:rsidRDefault="00C26E34" w:rsidP="00C26E34">
            <w:pPr>
              <w:widowControl/>
              <w:autoSpaceDE/>
              <w:autoSpaceDN/>
              <w:bidi/>
              <w:ind w:firstLineChars="300" w:firstLine="660"/>
            </w:pPr>
            <w:r>
              <w:rPr>
                <w:rtl/>
                <w:lang w:bidi="ar"/>
              </w:rPr>
              <w:t>غير محدد</w:t>
            </w:r>
          </w:p>
        </w:tc>
      </w:tr>
      <w:tr w:rsidR="00C26E34" w:rsidRPr="00C26E34" w14:paraId="7F8296DB" w14:textId="77777777" w:rsidTr="00C26E34">
        <w:trPr>
          <w:trHeight w:val="20"/>
        </w:trPr>
        <w:tc>
          <w:tcPr>
            <w:tcW w:w="7297" w:type="dxa"/>
            <w:tcBorders>
              <w:top w:val="nil"/>
              <w:left w:val="nil"/>
              <w:bottom w:val="nil"/>
              <w:right w:val="nil"/>
            </w:tcBorders>
            <w:shd w:val="clear" w:color="auto" w:fill="auto"/>
            <w:noWrap/>
            <w:vAlign w:val="center"/>
            <w:hideMark/>
          </w:tcPr>
          <w:p w14:paraId="60D659C7" w14:textId="65624F5B" w:rsidR="00C26E34" w:rsidRPr="00C26E34" w:rsidRDefault="00C26E34" w:rsidP="00C26E34">
            <w:pPr>
              <w:widowControl/>
              <w:autoSpaceDE/>
              <w:autoSpaceDN/>
              <w:bidi/>
              <w:ind w:leftChars="-49" w:left="24" w:hangingChars="60" w:hanging="132"/>
            </w:pPr>
            <w:r>
              <w:rPr>
                <w:rtl/>
                <w:lang w:bidi="ar"/>
              </w:rPr>
              <w:t>1099</w:t>
            </w:r>
            <w:r>
              <w:t>s</w:t>
            </w:r>
          </w:p>
        </w:tc>
        <w:tc>
          <w:tcPr>
            <w:tcW w:w="2063" w:type="dxa"/>
            <w:tcBorders>
              <w:top w:val="nil"/>
              <w:left w:val="nil"/>
              <w:bottom w:val="nil"/>
              <w:right w:val="nil"/>
            </w:tcBorders>
            <w:shd w:val="clear" w:color="auto" w:fill="auto"/>
            <w:noWrap/>
            <w:vAlign w:val="center"/>
            <w:hideMark/>
          </w:tcPr>
          <w:p w14:paraId="1A3F0A80" w14:textId="07621B0D" w:rsidR="00C26E34" w:rsidRPr="00C26E34" w:rsidRDefault="00C26E34" w:rsidP="00C26E34">
            <w:pPr>
              <w:widowControl/>
              <w:autoSpaceDE/>
              <w:autoSpaceDN/>
              <w:bidi/>
              <w:ind w:firstLineChars="300" w:firstLine="660"/>
            </w:pPr>
            <w:r>
              <w:rPr>
                <w:rtl/>
                <w:lang w:bidi="ar"/>
              </w:rPr>
              <w:t>5 سنوات</w:t>
            </w:r>
          </w:p>
        </w:tc>
      </w:tr>
      <w:tr w:rsidR="00C26E34" w:rsidRPr="00C26E34" w14:paraId="0907D253" w14:textId="77777777" w:rsidTr="00C26E34">
        <w:trPr>
          <w:trHeight w:val="20"/>
        </w:trPr>
        <w:tc>
          <w:tcPr>
            <w:tcW w:w="7297" w:type="dxa"/>
            <w:tcBorders>
              <w:top w:val="nil"/>
              <w:left w:val="nil"/>
              <w:bottom w:val="nil"/>
              <w:right w:val="nil"/>
            </w:tcBorders>
            <w:shd w:val="clear" w:color="auto" w:fill="auto"/>
            <w:noWrap/>
            <w:vAlign w:val="center"/>
            <w:hideMark/>
          </w:tcPr>
          <w:p w14:paraId="4FE23EE7" w14:textId="7A20C149" w:rsidR="00C26E34" w:rsidRPr="00C26E34" w:rsidRDefault="00C26E34" w:rsidP="00C26E34">
            <w:pPr>
              <w:widowControl/>
              <w:autoSpaceDE/>
              <w:autoSpaceDN/>
              <w:bidi/>
              <w:ind w:leftChars="-49" w:left="24" w:hangingChars="60" w:hanging="132"/>
            </w:pPr>
            <w:r>
              <w:rPr>
                <w:rtl/>
                <w:lang w:bidi="ar"/>
              </w:rPr>
              <w:t>سجلات مصروفات الأعمال</w:t>
            </w:r>
          </w:p>
        </w:tc>
        <w:tc>
          <w:tcPr>
            <w:tcW w:w="2063" w:type="dxa"/>
            <w:tcBorders>
              <w:top w:val="nil"/>
              <w:left w:val="nil"/>
              <w:bottom w:val="nil"/>
              <w:right w:val="nil"/>
            </w:tcBorders>
            <w:shd w:val="clear" w:color="auto" w:fill="auto"/>
            <w:noWrap/>
            <w:vAlign w:val="center"/>
            <w:hideMark/>
          </w:tcPr>
          <w:p w14:paraId="3593FAC3" w14:textId="0E0BEDDC" w:rsidR="00C26E34" w:rsidRPr="00C26E34" w:rsidRDefault="00C26E34" w:rsidP="00C26E34">
            <w:pPr>
              <w:widowControl/>
              <w:autoSpaceDE/>
              <w:autoSpaceDN/>
              <w:bidi/>
              <w:ind w:firstLineChars="300" w:firstLine="660"/>
            </w:pPr>
            <w:r>
              <w:rPr>
                <w:rtl/>
                <w:lang w:bidi="ar"/>
              </w:rPr>
              <w:t>5 سنوات</w:t>
            </w:r>
          </w:p>
        </w:tc>
      </w:tr>
      <w:tr w:rsidR="00C26E34" w:rsidRPr="00C26E34" w14:paraId="295DE153" w14:textId="77777777" w:rsidTr="00C26E34">
        <w:trPr>
          <w:trHeight w:val="20"/>
        </w:trPr>
        <w:tc>
          <w:tcPr>
            <w:tcW w:w="7297" w:type="dxa"/>
            <w:tcBorders>
              <w:top w:val="nil"/>
              <w:left w:val="nil"/>
              <w:bottom w:val="nil"/>
              <w:right w:val="nil"/>
            </w:tcBorders>
            <w:shd w:val="clear" w:color="auto" w:fill="auto"/>
            <w:noWrap/>
            <w:vAlign w:val="center"/>
            <w:hideMark/>
          </w:tcPr>
          <w:p w14:paraId="0C1C7892" w14:textId="6A45F068" w:rsidR="00C26E34" w:rsidRPr="00C26E34" w:rsidRDefault="00C26E34" w:rsidP="00C26E34">
            <w:pPr>
              <w:widowControl/>
              <w:autoSpaceDE/>
              <w:autoSpaceDN/>
              <w:bidi/>
              <w:ind w:leftChars="-49" w:left="24" w:hangingChars="60" w:hanging="132"/>
            </w:pPr>
            <w:r>
              <w:rPr>
                <w:rtl/>
                <w:lang w:bidi="ar"/>
              </w:rPr>
              <w:t>إيصالات النقد/ بطاقات الائتمان</w:t>
            </w:r>
          </w:p>
        </w:tc>
        <w:tc>
          <w:tcPr>
            <w:tcW w:w="2063" w:type="dxa"/>
            <w:tcBorders>
              <w:top w:val="nil"/>
              <w:left w:val="nil"/>
              <w:bottom w:val="nil"/>
              <w:right w:val="nil"/>
            </w:tcBorders>
            <w:shd w:val="clear" w:color="auto" w:fill="auto"/>
            <w:noWrap/>
            <w:vAlign w:val="center"/>
            <w:hideMark/>
          </w:tcPr>
          <w:p w14:paraId="3B4A3847" w14:textId="52458ED4" w:rsidR="00C26E34" w:rsidRPr="00C26E34" w:rsidRDefault="00C26E34" w:rsidP="00C26E34">
            <w:pPr>
              <w:widowControl/>
              <w:autoSpaceDE/>
              <w:autoSpaceDN/>
              <w:bidi/>
              <w:ind w:firstLineChars="300" w:firstLine="660"/>
            </w:pPr>
            <w:r>
              <w:rPr>
                <w:rtl/>
                <w:lang w:bidi="ar"/>
              </w:rPr>
              <w:t>3 سنوات</w:t>
            </w:r>
          </w:p>
        </w:tc>
      </w:tr>
      <w:tr w:rsidR="00C26E34" w:rsidRPr="00C26E34" w14:paraId="22EFD766" w14:textId="77777777" w:rsidTr="00C26E34">
        <w:trPr>
          <w:trHeight w:val="20"/>
        </w:trPr>
        <w:tc>
          <w:tcPr>
            <w:tcW w:w="7297"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bidi/>
              <w:ind w:leftChars="-49" w:left="24" w:hangingChars="60" w:hanging="132"/>
            </w:pPr>
            <w:r>
              <w:rPr>
                <w:rtl/>
                <w:lang w:bidi="ar"/>
              </w:rPr>
              <w:t>كشوف الحسابات المصرفية</w:t>
            </w:r>
          </w:p>
        </w:tc>
        <w:tc>
          <w:tcPr>
            <w:tcW w:w="2063" w:type="dxa"/>
            <w:tcBorders>
              <w:top w:val="nil"/>
              <w:left w:val="nil"/>
              <w:bottom w:val="nil"/>
              <w:right w:val="nil"/>
            </w:tcBorders>
            <w:shd w:val="clear" w:color="auto" w:fill="auto"/>
            <w:noWrap/>
            <w:vAlign w:val="center"/>
            <w:hideMark/>
          </w:tcPr>
          <w:p w14:paraId="58006A03" w14:textId="78A63EC0" w:rsidR="00C26E34" w:rsidRPr="00C26E34" w:rsidRDefault="00C26E34" w:rsidP="00C26E34">
            <w:pPr>
              <w:widowControl/>
              <w:autoSpaceDE/>
              <w:autoSpaceDN/>
              <w:bidi/>
              <w:ind w:firstLineChars="300" w:firstLine="660"/>
            </w:pPr>
            <w:r>
              <w:rPr>
                <w:rtl/>
                <w:lang w:bidi="ar"/>
              </w:rPr>
              <w:t>7 سنوات</w:t>
            </w:r>
          </w:p>
        </w:tc>
      </w:tr>
      <w:tr w:rsidR="00C26E34" w:rsidRPr="00C26E34" w14:paraId="095F9D2A" w14:textId="77777777" w:rsidTr="00C26E34">
        <w:trPr>
          <w:trHeight w:val="20"/>
        </w:trPr>
        <w:tc>
          <w:tcPr>
            <w:tcW w:w="7297" w:type="dxa"/>
            <w:tcBorders>
              <w:top w:val="nil"/>
              <w:left w:val="nil"/>
              <w:bottom w:val="nil"/>
              <w:right w:val="nil"/>
            </w:tcBorders>
            <w:shd w:val="clear" w:color="auto" w:fill="auto"/>
            <w:noWrap/>
            <w:vAlign w:val="center"/>
            <w:hideMark/>
          </w:tcPr>
          <w:p w14:paraId="66272384" w14:textId="65197F1D" w:rsidR="00C26E34" w:rsidRPr="00C26E34" w:rsidRDefault="00C26E34" w:rsidP="00C26E34">
            <w:pPr>
              <w:widowControl/>
              <w:autoSpaceDE/>
              <w:autoSpaceDN/>
              <w:bidi/>
              <w:ind w:leftChars="-49" w:left="24" w:hangingChars="60" w:hanging="132"/>
            </w:pPr>
            <w:r>
              <w:rPr>
                <w:rtl/>
                <w:lang w:bidi="ar"/>
              </w:rPr>
              <w:t>سجلات النفقات الرأسمالية</w:t>
            </w:r>
          </w:p>
        </w:tc>
        <w:tc>
          <w:tcPr>
            <w:tcW w:w="2063" w:type="dxa"/>
            <w:tcBorders>
              <w:top w:val="nil"/>
              <w:left w:val="nil"/>
              <w:bottom w:val="nil"/>
              <w:right w:val="nil"/>
            </w:tcBorders>
            <w:shd w:val="clear" w:color="auto" w:fill="auto"/>
            <w:noWrap/>
            <w:vAlign w:val="center"/>
            <w:hideMark/>
          </w:tcPr>
          <w:p w14:paraId="068A7964" w14:textId="737CAACF" w:rsidR="00C26E34" w:rsidRPr="00C26E34" w:rsidRDefault="00C26E34" w:rsidP="00C26E34">
            <w:pPr>
              <w:widowControl/>
              <w:autoSpaceDE/>
              <w:autoSpaceDN/>
              <w:bidi/>
              <w:ind w:firstLineChars="300" w:firstLine="660"/>
            </w:pPr>
            <w:r>
              <w:rPr>
                <w:rtl/>
                <w:lang w:bidi="ar"/>
              </w:rPr>
              <w:t>7 سنوات</w:t>
            </w:r>
          </w:p>
        </w:tc>
      </w:tr>
      <w:tr w:rsidR="00C26E34" w:rsidRPr="00C26E34" w14:paraId="6B2E6EF0" w14:textId="77777777" w:rsidTr="00C26E34">
        <w:trPr>
          <w:trHeight w:val="20"/>
        </w:trPr>
        <w:tc>
          <w:tcPr>
            <w:tcW w:w="7297" w:type="dxa"/>
            <w:tcBorders>
              <w:top w:val="nil"/>
              <w:left w:val="nil"/>
              <w:bottom w:val="nil"/>
              <w:right w:val="nil"/>
            </w:tcBorders>
            <w:shd w:val="clear" w:color="auto" w:fill="auto"/>
            <w:noWrap/>
            <w:vAlign w:val="center"/>
            <w:hideMark/>
          </w:tcPr>
          <w:p w14:paraId="341D11B3" w14:textId="0FA5E74F" w:rsidR="00C26E34" w:rsidRPr="00C26E34" w:rsidRDefault="00C26E34" w:rsidP="00C26E34">
            <w:pPr>
              <w:widowControl/>
              <w:autoSpaceDE/>
              <w:autoSpaceDN/>
              <w:bidi/>
              <w:ind w:leftChars="-49" w:left="24" w:hangingChars="60" w:hanging="132"/>
            </w:pPr>
            <w:r>
              <w:rPr>
                <w:rtl/>
                <w:lang w:bidi="ar"/>
              </w:rPr>
              <w:t>دفتر يومية المصروفات المدفوعة مقدمًا والمستحقة</w:t>
            </w:r>
          </w:p>
        </w:tc>
        <w:tc>
          <w:tcPr>
            <w:tcW w:w="2063" w:type="dxa"/>
            <w:tcBorders>
              <w:top w:val="nil"/>
              <w:left w:val="nil"/>
              <w:bottom w:val="nil"/>
              <w:right w:val="nil"/>
            </w:tcBorders>
            <w:shd w:val="clear" w:color="auto" w:fill="auto"/>
            <w:noWrap/>
            <w:vAlign w:val="center"/>
            <w:hideMark/>
          </w:tcPr>
          <w:p w14:paraId="5A3CD7C4" w14:textId="355B301D" w:rsidR="00C26E34" w:rsidRPr="00C26E34" w:rsidRDefault="00C26E34" w:rsidP="00C26E34">
            <w:pPr>
              <w:widowControl/>
              <w:autoSpaceDE/>
              <w:autoSpaceDN/>
              <w:bidi/>
              <w:ind w:firstLineChars="300" w:firstLine="660"/>
            </w:pPr>
            <w:r>
              <w:rPr>
                <w:rtl/>
                <w:lang w:bidi="ar"/>
              </w:rPr>
              <w:t>7 سنوات</w:t>
            </w:r>
          </w:p>
        </w:tc>
      </w:tr>
      <w:tr w:rsidR="00C26E34" w:rsidRPr="00C26E34" w14:paraId="08D5D08F" w14:textId="77777777" w:rsidTr="00C26E34">
        <w:trPr>
          <w:trHeight w:val="20"/>
        </w:trPr>
        <w:tc>
          <w:tcPr>
            <w:tcW w:w="7297" w:type="dxa"/>
            <w:tcBorders>
              <w:top w:val="nil"/>
              <w:left w:val="nil"/>
              <w:bottom w:val="nil"/>
              <w:right w:val="nil"/>
            </w:tcBorders>
            <w:shd w:val="clear" w:color="auto" w:fill="auto"/>
            <w:noWrap/>
            <w:vAlign w:val="center"/>
            <w:hideMark/>
          </w:tcPr>
          <w:p w14:paraId="6F62ED3D" w14:textId="062ADEE7" w:rsidR="00C26E34" w:rsidRPr="00C26E34" w:rsidRDefault="00C26E34" w:rsidP="00C26E34">
            <w:pPr>
              <w:widowControl/>
              <w:autoSpaceDE/>
              <w:autoSpaceDN/>
              <w:bidi/>
              <w:ind w:leftChars="-49" w:left="24" w:hangingChars="60" w:hanging="132"/>
            </w:pPr>
            <w:r>
              <w:rPr>
                <w:rtl/>
                <w:lang w:bidi="ar"/>
              </w:rPr>
              <w:t>قسائم المصروفات النثرية والسجلات ذات الصلة</w:t>
            </w:r>
          </w:p>
        </w:tc>
        <w:tc>
          <w:tcPr>
            <w:tcW w:w="2063" w:type="dxa"/>
            <w:tcBorders>
              <w:top w:val="nil"/>
              <w:left w:val="nil"/>
              <w:bottom w:val="nil"/>
              <w:right w:val="nil"/>
            </w:tcBorders>
            <w:shd w:val="clear" w:color="auto" w:fill="auto"/>
            <w:noWrap/>
            <w:vAlign w:val="center"/>
            <w:hideMark/>
          </w:tcPr>
          <w:p w14:paraId="41342755" w14:textId="20D25003" w:rsidR="00C26E34" w:rsidRPr="00C26E34" w:rsidRDefault="00C26E34" w:rsidP="00C26E34">
            <w:pPr>
              <w:widowControl/>
              <w:autoSpaceDE/>
              <w:autoSpaceDN/>
              <w:bidi/>
              <w:ind w:firstLineChars="300" w:firstLine="660"/>
            </w:pPr>
            <w:r>
              <w:rPr>
                <w:rtl/>
                <w:lang w:bidi="ar"/>
              </w:rPr>
              <w:t>7 سنوات</w:t>
            </w:r>
          </w:p>
        </w:tc>
      </w:tr>
      <w:tr w:rsidR="00C26E34" w:rsidRPr="00C26E34" w14:paraId="595FCC57" w14:textId="77777777" w:rsidTr="00C26E34">
        <w:trPr>
          <w:trHeight w:val="20"/>
        </w:trPr>
        <w:tc>
          <w:tcPr>
            <w:tcW w:w="7297"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06C64B3" w14:textId="1FC36790" w:rsidR="00C26E34" w:rsidRPr="00C26E34" w:rsidRDefault="00C26E34" w:rsidP="00C26E34">
            <w:pPr>
              <w:widowControl/>
              <w:autoSpaceDE/>
              <w:autoSpaceDN/>
              <w:ind w:firstLineChars="300" w:firstLine="660"/>
            </w:pPr>
          </w:p>
        </w:tc>
      </w:tr>
      <w:tr w:rsidR="00C26E34" w:rsidRPr="00C26E34" w14:paraId="2E74DE03" w14:textId="77777777" w:rsidTr="00C26E34">
        <w:trPr>
          <w:trHeight w:val="20"/>
        </w:trPr>
        <w:tc>
          <w:tcPr>
            <w:tcW w:w="7297" w:type="dxa"/>
            <w:tcBorders>
              <w:top w:val="nil"/>
              <w:left w:val="nil"/>
              <w:bottom w:val="nil"/>
              <w:right w:val="nil"/>
            </w:tcBorders>
            <w:shd w:val="clear" w:color="auto" w:fill="auto"/>
            <w:noWrap/>
            <w:vAlign w:val="center"/>
            <w:hideMark/>
          </w:tcPr>
          <w:p w14:paraId="4B2F10FB" w14:textId="2668B650" w:rsidR="00C26E34" w:rsidRPr="00C26E34" w:rsidRDefault="00C26E34" w:rsidP="00C26E34">
            <w:pPr>
              <w:widowControl/>
              <w:autoSpaceDE/>
              <w:autoSpaceDN/>
              <w:bidi/>
              <w:ind w:leftChars="-49" w:left="24" w:hangingChars="60" w:hanging="132"/>
            </w:pPr>
            <w:r>
              <w:rPr>
                <w:rtl/>
                <w:lang w:bidi="ar"/>
              </w:rPr>
              <w:t>كشوف المرتبات وسجلات ضريبة العمل</w:t>
            </w:r>
          </w:p>
        </w:tc>
        <w:tc>
          <w:tcPr>
            <w:tcW w:w="2063" w:type="dxa"/>
            <w:tcBorders>
              <w:top w:val="nil"/>
              <w:left w:val="nil"/>
              <w:bottom w:val="nil"/>
              <w:right w:val="nil"/>
            </w:tcBorders>
            <w:shd w:val="clear" w:color="auto" w:fill="auto"/>
            <w:noWrap/>
            <w:vAlign w:val="bottom"/>
            <w:hideMark/>
          </w:tcPr>
          <w:p w14:paraId="67AB3749" w14:textId="77777777" w:rsidR="00C26E34" w:rsidRPr="00C26E34" w:rsidRDefault="00C26E34" w:rsidP="00C26E34">
            <w:pPr>
              <w:widowControl/>
              <w:autoSpaceDE/>
              <w:autoSpaceDN/>
            </w:pPr>
          </w:p>
        </w:tc>
      </w:tr>
      <w:tr w:rsidR="00C26E34" w:rsidRPr="00C26E34" w14:paraId="308C091C" w14:textId="77777777" w:rsidTr="00C26E34">
        <w:trPr>
          <w:trHeight w:val="20"/>
        </w:trPr>
        <w:tc>
          <w:tcPr>
            <w:tcW w:w="7297" w:type="dxa"/>
            <w:tcBorders>
              <w:top w:val="nil"/>
              <w:left w:val="nil"/>
              <w:bottom w:val="nil"/>
              <w:right w:val="nil"/>
            </w:tcBorders>
            <w:shd w:val="clear" w:color="auto" w:fill="auto"/>
            <w:noWrap/>
            <w:vAlign w:val="center"/>
            <w:hideMark/>
          </w:tcPr>
          <w:p w14:paraId="5475E18B" w14:textId="5FAB8056" w:rsidR="00C26E34" w:rsidRPr="00C26E34" w:rsidRDefault="00C26E34" w:rsidP="00C26E34">
            <w:pPr>
              <w:widowControl/>
              <w:autoSpaceDE/>
              <w:autoSpaceDN/>
              <w:bidi/>
              <w:ind w:leftChars="-49" w:left="24" w:hangingChars="60" w:hanging="132"/>
            </w:pPr>
            <w:r>
              <w:rPr>
                <w:rtl/>
                <w:lang w:bidi="ar"/>
              </w:rPr>
              <w:t>سجلات كشوف المرتبات/ سجلات كشوف المرتبات التكميلية</w:t>
            </w:r>
          </w:p>
        </w:tc>
        <w:tc>
          <w:tcPr>
            <w:tcW w:w="2063" w:type="dxa"/>
            <w:tcBorders>
              <w:top w:val="nil"/>
              <w:left w:val="nil"/>
              <w:bottom w:val="nil"/>
              <w:right w:val="nil"/>
            </w:tcBorders>
            <w:shd w:val="clear" w:color="auto" w:fill="auto"/>
            <w:noWrap/>
            <w:vAlign w:val="center"/>
            <w:hideMark/>
          </w:tcPr>
          <w:p w14:paraId="495A8423" w14:textId="51674313" w:rsidR="00C26E34" w:rsidRPr="00C26E34" w:rsidRDefault="00C26E34" w:rsidP="00C26E34">
            <w:pPr>
              <w:widowControl/>
              <w:autoSpaceDE/>
              <w:autoSpaceDN/>
              <w:bidi/>
              <w:ind w:firstLineChars="300" w:firstLine="660"/>
            </w:pPr>
            <w:r>
              <w:rPr>
                <w:rtl/>
                <w:lang w:bidi="ar"/>
              </w:rPr>
              <w:t>5 سنوات</w:t>
            </w:r>
          </w:p>
        </w:tc>
      </w:tr>
      <w:tr w:rsidR="00C26E34" w:rsidRPr="00C26E34" w14:paraId="1C0C010D" w14:textId="77777777" w:rsidTr="00C26E34">
        <w:trPr>
          <w:trHeight w:val="20"/>
        </w:trPr>
        <w:tc>
          <w:tcPr>
            <w:tcW w:w="7297" w:type="dxa"/>
            <w:tcBorders>
              <w:top w:val="nil"/>
              <w:left w:val="nil"/>
              <w:bottom w:val="nil"/>
              <w:right w:val="nil"/>
            </w:tcBorders>
            <w:shd w:val="clear" w:color="auto" w:fill="auto"/>
            <w:noWrap/>
            <w:vAlign w:val="center"/>
            <w:hideMark/>
          </w:tcPr>
          <w:p w14:paraId="07463B36" w14:textId="69A81A9D" w:rsidR="00C26E34" w:rsidRPr="00C26E34" w:rsidRDefault="00C26E34" w:rsidP="00C26E34">
            <w:pPr>
              <w:widowControl/>
              <w:autoSpaceDE/>
              <w:autoSpaceDN/>
              <w:bidi/>
              <w:ind w:leftChars="-49" w:left="24" w:hangingChars="60" w:hanging="132"/>
            </w:pPr>
            <w:r>
              <w:rPr>
                <w:rtl/>
                <w:lang w:bidi="ar"/>
              </w:rPr>
              <w:t>سجلات ضريبة البطالة الحكومية</w:t>
            </w:r>
          </w:p>
        </w:tc>
        <w:tc>
          <w:tcPr>
            <w:tcW w:w="2063" w:type="dxa"/>
            <w:tcBorders>
              <w:top w:val="nil"/>
              <w:left w:val="nil"/>
              <w:bottom w:val="nil"/>
              <w:right w:val="nil"/>
            </w:tcBorders>
            <w:shd w:val="clear" w:color="auto" w:fill="auto"/>
            <w:noWrap/>
            <w:vAlign w:val="center"/>
            <w:hideMark/>
          </w:tcPr>
          <w:p w14:paraId="2C5A3766" w14:textId="5693F8D3" w:rsidR="00C26E34" w:rsidRPr="00C26E34" w:rsidRDefault="00C26E34" w:rsidP="00C26E34">
            <w:pPr>
              <w:widowControl/>
              <w:autoSpaceDE/>
              <w:autoSpaceDN/>
              <w:bidi/>
              <w:ind w:firstLineChars="300" w:firstLine="660"/>
            </w:pPr>
            <w:r>
              <w:rPr>
                <w:rtl/>
                <w:lang w:bidi="ar"/>
              </w:rPr>
              <w:t>غير محدد</w:t>
            </w:r>
          </w:p>
        </w:tc>
      </w:tr>
      <w:tr w:rsidR="00C26E34" w:rsidRPr="00C26E34" w14:paraId="43BF1B02" w14:textId="77777777" w:rsidTr="00C26E34">
        <w:trPr>
          <w:trHeight w:val="20"/>
        </w:trPr>
        <w:tc>
          <w:tcPr>
            <w:tcW w:w="7297" w:type="dxa"/>
            <w:tcBorders>
              <w:top w:val="nil"/>
              <w:left w:val="nil"/>
              <w:bottom w:val="nil"/>
              <w:right w:val="nil"/>
            </w:tcBorders>
            <w:shd w:val="clear" w:color="auto" w:fill="auto"/>
            <w:noWrap/>
            <w:vAlign w:val="center"/>
            <w:hideMark/>
          </w:tcPr>
          <w:p w14:paraId="1390FDA8" w14:textId="570364EC" w:rsidR="00C26E34" w:rsidRPr="00C26E34" w:rsidRDefault="00C26E34" w:rsidP="00C26E34">
            <w:pPr>
              <w:widowControl/>
              <w:autoSpaceDE/>
              <w:autoSpaceDN/>
              <w:bidi/>
              <w:ind w:leftChars="-49" w:left="24" w:hangingChars="60" w:hanging="132"/>
            </w:pPr>
            <w:r>
              <w:rPr>
                <w:rtl/>
                <w:lang w:bidi="ar"/>
              </w:rPr>
              <w:t>سجلات الأرباح/ الحجز</w:t>
            </w:r>
          </w:p>
        </w:tc>
        <w:tc>
          <w:tcPr>
            <w:tcW w:w="2063" w:type="dxa"/>
            <w:tcBorders>
              <w:top w:val="nil"/>
              <w:left w:val="nil"/>
              <w:bottom w:val="nil"/>
              <w:right w:val="nil"/>
            </w:tcBorders>
            <w:shd w:val="clear" w:color="auto" w:fill="auto"/>
            <w:noWrap/>
            <w:vAlign w:val="center"/>
            <w:hideMark/>
          </w:tcPr>
          <w:p w14:paraId="3C5FD6C5" w14:textId="15F76DEB" w:rsidR="00C26E34" w:rsidRPr="00C26E34" w:rsidRDefault="00C26E34" w:rsidP="00C26E34">
            <w:pPr>
              <w:widowControl/>
              <w:autoSpaceDE/>
              <w:autoSpaceDN/>
              <w:bidi/>
              <w:ind w:firstLineChars="300" w:firstLine="660"/>
            </w:pPr>
            <w:r>
              <w:rPr>
                <w:rtl/>
                <w:lang w:bidi="ar"/>
              </w:rPr>
              <w:t>5 سنوات</w:t>
            </w:r>
          </w:p>
        </w:tc>
      </w:tr>
      <w:tr w:rsidR="00C26E34" w:rsidRPr="00C26E34" w14:paraId="2B100825" w14:textId="77777777" w:rsidTr="00C26E34">
        <w:trPr>
          <w:trHeight w:val="20"/>
        </w:trPr>
        <w:tc>
          <w:tcPr>
            <w:tcW w:w="7297" w:type="dxa"/>
            <w:tcBorders>
              <w:top w:val="nil"/>
              <w:left w:val="nil"/>
              <w:bottom w:val="nil"/>
              <w:right w:val="nil"/>
            </w:tcBorders>
            <w:shd w:val="clear" w:color="auto" w:fill="auto"/>
            <w:noWrap/>
            <w:vAlign w:val="center"/>
            <w:hideMark/>
          </w:tcPr>
          <w:p w14:paraId="157BF498" w14:textId="55E0EF92" w:rsidR="00C26E34" w:rsidRPr="00C26E34" w:rsidRDefault="00C26E34" w:rsidP="00C26E34">
            <w:pPr>
              <w:widowControl/>
              <w:autoSpaceDE/>
              <w:autoSpaceDN/>
              <w:bidi/>
              <w:ind w:leftChars="-49" w:left="24" w:hangingChars="60" w:hanging="132"/>
            </w:pPr>
            <w:r>
              <w:rPr>
                <w:rtl/>
                <w:lang w:bidi="ar"/>
              </w:rPr>
              <w:t>الإقرارات الضريبية لكشوف المرتبات</w:t>
            </w:r>
          </w:p>
        </w:tc>
        <w:tc>
          <w:tcPr>
            <w:tcW w:w="2063" w:type="dxa"/>
            <w:tcBorders>
              <w:top w:val="nil"/>
              <w:left w:val="nil"/>
              <w:bottom w:val="nil"/>
              <w:right w:val="nil"/>
            </w:tcBorders>
            <w:shd w:val="clear" w:color="auto" w:fill="auto"/>
            <w:noWrap/>
            <w:vAlign w:val="center"/>
            <w:hideMark/>
          </w:tcPr>
          <w:p w14:paraId="4F632F07" w14:textId="71875397" w:rsidR="00C26E34" w:rsidRPr="00C26E34" w:rsidRDefault="00C26E34" w:rsidP="00C26E34">
            <w:pPr>
              <w:widowControl/>
              <w:autoSpaceDE/>
              <w:autoSpaceDN/>
              <w:bidi/>
              <w:ind w:firstLineChars="300" w:firstLine="660"/>
            </w:pPr>
            <w:r>
              <w:rPr>
                <w:rtl/>
                <w:lang w:bidi="ar"/>
              </w:rPr>
              <w:t>7 سنوات</w:t>
            </w:r>
          </w:p>
        </w:tc>
      </w:tr>
      <w:tr w:rsidR="00C26E34" w:rsidRPr="00C26E34" w14:paraId="55D16275" w14:textId="77777777" w:rsidTr="00C26E34">
        <w:trPr>
          <w:trHeight w:val="20"/>
        </w:trPr>
        <w:tc>
          <w:tcPr>
            <w:tcW w:w="7297"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bidi/>
              <w:ind w:leftChars="-49" w:left="24" w:hangingChars="60" w:hanging="132"/>
            </w:pPr>
            <w:r>
              <w:rPr>
                <w:rtl/>
                <w:lang w:bidi="ar"/>
              </w:rPr>
              <w:t xml:space="preserve">بيانات </w:t>
            </w:r>
            <w:r>
              <w:t>W-2</w:t>
            </w:r>
          </w:p>
        </w:tc>
        <w:tc>
          <w:tcPr>
            <w:tcW w:w="2063" w:type="dxa"/>
            <w:tcBorders>
              <w:top w:val="nil"/>
              <w:left w:val="nil"/>
              <w:bottom w:val="nil"/>
              <w:right w:val="nil"/>
            </w:tcBorders>
            <w:shd w:val="clear" w:color="auto" w:fill="auto"/>
            <w:noWrap/>
            <w:vAlign w:val="center"/>
            <w:hideMark/>
          </w:tcPr>
          <w:p w14:paraId="46CA3148" w14:textId="42B97033" w:rsidR="00C26E34" w:rsidRPr="00C26E34" w:rsidRDefault="00C26E34" w:rsidP="00C26E34">
            <w:pPr>
              <w:widowControl/>
              <w:autoSpaceDE/>
              <w:autoSpaceDN/>
              <w:bidi/>
              <w:ind w:firstLineChars="300" w:firstLine="660"/>
            </w:pPr>
            <w:r>
              <w:rPr>
                <w:rtl/>
                <w:lang w:bidi="ar"/>
              </w:rPr>
              <w:t>7 سنوات</w:t>
            </w:r>
          </w:p>
        </w:tc>
      </w:tr>
      <w:tr w:rsidR="00C26E34" w:rsidRPr="00C26E34" w14:paraId="39E3E13F" w14:textId="77777777" w:rsidTr="00C26E34">
        <w:trPr>
          <w:trHeight w:val="20"/>
        </w:trPr>
        <w:tc>
          <w:tcPr>
            <w:tcW w:w="7297"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F97494E" w14:textId="562AED99" w:rsidR="00C26E34" w:rsidRPr="00C26E34" w:rsidRDefault="00C26E34" w:rsidP="00C26E34">
            <w:pPr>
              <w:widowControl/>
              <w:autoSpaceDE/>
              <w:autoSpaceDN/>
              <w:ind w:firstLineChars="300" w:firstLine="660"/>
            </w:pPr>
          </w:p>
        </w:tc>
      </w:tr>
      <w:tr w:rsidR="00C26E34" w:rsidRPr="00C26E34" w14:paraId="5BD7A32F" w14:textId="77777777" w:rsidTr="00C26E34">
        <w:trPr>
          <w:trHeight w:val="20"/>
        </w:trPr>
        <w:tc>
          <w:tcPr>
            <w:tcW w:w="7297" w:type="dxa"/>
            <w:tcBorders>
              <w:top w:val="nil"/>
              <w:left w:val="nil"/>
              <w:bottom w:val="nil"/>
              <w:right w:val="nil"/>
            </w:tcBorders>
            <w:shd w:val="clear" w:color="auto" w:fill="auto"/>
            <w:noWrap/>
            <w:vAlign w:val="center"/>
            <w:hideMark/>
          </w:tcPr>
          <w:p w14:paraId="7644F24B" w14:textId="47E9E404" w:rsidR="00C26E34" w:rsidRPr="00C26E34" w:rsidRDefault="00C26E34" w:rsidP="00C26E34">
            <w:pPr>
              <w:widowControl/>
              <w:autoSpaceDE/>
              <w:autoSpaceDN/>
              <w:bidi/>
              <w:ind w:leftChars="-49" w:left="24" w:hangingChars="60" w:hanging="132"/>
            </w:pPr>
            <w:r>
              <w:rPr>
                <w:rtl/>
                <w:lang w:bidi="ar"/>
              </w:rPr>
              <w:t>سجلات الموظفين</w:t>
            </w:r>
          </w:p>
        </w:tc>
        <w:tc>
          <w:tcPr>
            <w:tcW w:w="2063" w:type="dxa"/>
            <w:tcBorders>
              <w:top w:val="nil"/>
              <w:left w:val="nil"/>
              <w:bottom w:val="nil"/>
              <w:right w:val="nil"/>
            </w:tcBorders>
            <w:shd w:val="clear" w:color="auto" w:fill="auto"/>
            <w:noWrap/>
            <w:vAlign w:val="bottom"/>
            <w:hideMark/>
          </w:tcPr>
          <w:p w14:paraId="4E10213B" w14:textId="77777777" w:rsidR="00C26E34" w:rsidRPr="00C26E34" w:rsidRDefault="00C26E34" w:rsidP="00C26E34">
            <w:pPr>
              <w:widowControl/>
              <w:autoSpaceDE/>
              <w:autoSpaceDN/>
            </w:pPr>
          </w:p>
        </w:tc>
      </w:tr>
      <w:tr w:rsidR="00C26E34" w:rsidRPr="00C26E34" w14:paraId="251DF509" w14:textId="77777777" w:rsidTr="00C26E34">
        <w:trPr>
          <w:trHeight w:val="20"/>
        </w:trPr>
        <w:tc>
          <w:tcPr>
            <w:tcW w:w="7297" w:type="dxa"/>
            <w:tcBorders>
              <w:top w:val="nil"/>
              <w:left w:val="nil"/>
              <w:bottom w:val="nil"/>
              <w:right w:val="nil"/>
            </w:tcBorders>
            <w:shd w:val="clear" w:color="auto" w:fill="auto"/>
            <w:noWrap/>
            <w:vAlign w:val="center"/>
            <w:hideMark/>
          </w:tcPr>
          <w:p w14:paraId="7A9C183D" w14:textId="30ED586C" w:rsidR="00C26E34" w:rsidRPr="00C26E34" w:rsidRDefault="00C26E34" w:rsidP="00C26E34">
            <w:pPr>
              <w:widowControl/>
              <w:autoSpaceDE/>
              <w:autoSpaceDN/>
              <w:bidi/>
              <w:ind w:leftChars="-49" w:left="24" w:hangingChars="60" w:hanging="132"/>
            </w:pPr>
            <w:r>
              <w:rPr>
                <w:rtl/>
                <w:lang w:bidi="ar"/>
              </w:rPr>
              <w:t>اتفاقيات التوظيف وإنهاء الخدمة</w:t>
            </w:r>
          </w:p>
        </w:tc>
        <w:tc>
          <w:tcPr>
            <w:tcW w:w="2063" w:type="dxa"/>
            <w:tcBorders>
              <w:top w:val="nil"/>
              <w:left w:val="nil"/>
              <w:bottom w:val="nil"/>
              <w:right w:val="nil"/>
            </w:tcBorders>
            <w:shd w:val="clear" w:color="auto" w:fill="auto"/>
            <w:noWrap/>
            <w:vAlign w:val="center"/>
            <w:hideMark/>
          </w:tcPr>
          <w:p w14:paraId="515AD804" w14:textId="1C660785" w:rsidR="00C26E34" w:rsidRPr="00C26E34" w:rsidRDefault="00C26E34" w:rsidP="00C26E34">
            <w:pPr>
              <w:widowControl/>
              <w:autoSpaceDE/>
              <w:autoSpaceDN/>
              <w:bidi/>
              <w:ind w:firstLineChars="300" w:firstLine="660"/>
            </w:pPr>
            <w:r>
              <w:rPr>
                <w:rtl/>
                <w:lang w:bidi="ar"/>
              </w:rPr>
              <w:t>7 سنوات</w:t>
            </w:r>
          </w:p>
        </w:tc>
      </w:tr>
      <w:tr w:rsidR="00C26E34" w:rsidRPr="00C26E34" w14:paraId="0F27266E" w14:textId="77777777" w:rsidTr="00C26E34">
        <w:trPr>
          <w:trHeight w:val="20"/>
        </w:trPr>
        <w:tc>
          <w:tcPr>
            <w:tcW w:w="7297" w:type="dxa"/>
            <w:tcBorders>
              <w:top w:val="nil"/>
              <w:left w:val="nil"/>
              <w:bottom w:val="nil"/>
              <w:right w:val="nil"/>
            </w:tcBorders>
            <w:shd w:val="clear" w:color="auto" w:fill="auto"/>
            <w:noWrap/>
            <w:vAlign w:val="center"/>
            <w:hideMark/>
          </w:tcPr>
          <w:p w14:paraId="094E1D1C" w14:textId="288AFE64" w:rsidR="00C26E34" w:rsidRPr="00C26E34" w:rsidRDefault="00C26E34" w:rsidP="00C26E34">
            <w:pPr>
              <w:widowControl/>
              <w:autoSpaceDE/>
              <w:autoSpaceDN/>
              <w:bidi/>
              <w:ind w:leftChars="-49" w:left="24" w:hangingChars="60" w:hanging="132"/>
            </w:pPr>
            <w:r>
              <w:rPr>
                <w:rtl/>
                <w:lang w:bidi="ar"/>
              </w:rPr>
              <w:t>طلبات التوظيف</w:t>
            </w:r>
          </w:p>
        </w:tc>
        <w:tc>
          <w:tcPr>
            <w:tcW w:w="2063" w:type="dxa"/>
            <w:tcBorders>
              <w:top w:val="nil"/>
              <w:left w:val="nil"/>
              <w:bottom w:val="nil"/>
              <w:right w:val="nil"/>
            </w:tcBorders>
            <w:shd w:val="clear" w:color="auto" w:fill="auto"/>
            <w:noWrap/>
            <w:vAlign w:val="center"/>
            <w:hideMark/>
          </w:tcPr>
          <w:p w14:paraId="14BF6F8D" w14:textId="07F22DF2" w:rsidR="00C26E34" w:rsidRPr="00C26E34" w:rsidRDefault="00C26E34" w:rsidP="00C26E34">
            <w:pPr>
              <w:widowControl/>
              <w:autoSpaceDE/>
              <w:autoSpaceDN/>
              <w:bidi/>
              <w:ind w:firstLineChars="300" w:firstLine="660"/>
            </w:pPr>
            <w:r>
              <w:rPr>
                <w:rtl/>
                <w:lang w:bidi="ar"/>
              </w:rPr>
              <w:t>3 سنوات</w:t>
            </w:r>
          </w:p>
        </w:tc>
      </w:tr>
      <w:tr w:rsidR="00C26E34" w:rsidRPr="00C26E34" w14:paraId="1D6C86A7" w14:textId="77777777" w:rsidTr="00C26E34">
        <w:trPr>
          <w:trHeight w:val="20"/>
        </w:trPr>
        <w:tc>
          <w:tcPr>
            <w:tcW w:w="7297" w:type="dxa"/>
            <w:tcBorders>
              <w:top w:val="nil"/>
              <w:left w:val="nil"/>
              <w:bottom w:val="nil"/>
              <w:right w:val="nil"/>
            </w:tcBorders>
            <w:shd w:val="clear" w:color="auto" w:fill="auto"/>
            <w:noWrap/>
            <w:vAlign w:val="center"/>
            <w:hideMark/>
          </w:tcPr>
          <w:p w14:paraId="6BF9F1E5" w14:textId="5E830041" w:rsidR="00C26E34" w:rsidRPr="00C26E34" w:rsidRDefault="00C26E34" w:rsidP="00C26E34">
            <w:pPr>
              <w:widowControl/>
              <w:autoSpaceDE/>
              <w:autoSpaceDN/>
              <w:bidi/>
              <w:ind w:leftChars="-49" w:left="24" w:hangingChars="60" w:hanging="132"/>
            </w:pPr>
            <w:r>
              <w:rPr>
                <w:rtl/>
                <w:lang w:bidi="ar"/>
              </w:rPr>
              <w:t>سجلات التوظيف (بعد قرار التوظيف)</w:t>
            </w:r>
          </w:p>
        </w:tc>
        <w:tc>
          <w:tcPr>
            <w:tcW w:w="2063" w:type="dxa"/>
            <w:tcBorders>
              <w:top w:val="nil"/>
              <w:left w:val="nil"/>
              <w:bottom w:val="nil"/>
              <w:right w:val="nil"/>
            </w:tcBorders>
            <w:shd w:val="clear" w:color="auto" w:fill="auto"/>
            <w:noWrap/>
            <w:vAlign w:val="center"/>
            <w:hideMark/>
          </w:tcPr>
          <w:p w14:paraId="6EC1D746" w14:textId="3A35FC31" w:rsidR="00C26E34" w:rsidRPr="00C26E34" w:rsidRDefault="00C26E34" w:rsidP="00C26E34">
            <w:pPr>
              <w:widowControl/>
              <w:autoSpaceDE/>
              <w:autoSpaceDN/>
              <w:bidi/>
              <w:ind w:firstLineChars="300" w:firstLine="660"/>
            </w:pPr>
            <w:r>
              <w:rPr>
                <w:rtl/>
                <w:lang w:bidi="ar"/>
              </w:rPr>
              <w:t>سنة واحدة</w:t>
            </w:r>
          </w:p>
        </w:tc>
      </w:tr>
      <w:tr w:rsidR="00C26E34" w:rsidRPr="00C26E34" w14:paraId="7CCBFFFD" w14:textId="77777777" w:rsidTr="00C26E34">
        <w:trPr>
          <w:trHeight w:val="20"/>
        </w:trPr>
        <w:tc>
          <w:tcPr>
            <w:tcW w:w="7297" w:type="dxa"/>
            <w:tcBorders>
              <w:top w:val="nil"/>
              <w:left w:val="nil"/>
              <w:bottom w:val="nil"/>
              <w:right w:val="nil"/>
            </w:tcBorders>
            <w:shd w:val="clear" w:color="auto" w:fill="auto"/>
            <w:noWrap/>
            <w:vAlign w:val="center"/>
            <w:hideMark/>
          </w:tcPr>
          <w:p w14:paraId="67766FA2" w14:textId="016CEE11" w:rsidR="00C26E34" w:rsidRPr="00C26E34" w:rsidRDefault="00C26E34" w:rsidP="00C26E34">
            <w:pPr>
              <w:widowControl/>
              <w:autoSpaceDE/>
              <w:autoSpaceDN/>
              <w:bidi/>
              <w:ind w:leftChars="-49" w:left="24" w:hangingChars="60" w:hanging="132"/>
            </w:pPr>
            <w:r>
              <w:rPr>
                <w:rtl/>
                <w:lang w:bidi="ar"/>
              </w:rPr>
              <w:t>سجلات الموظفين الموظفين الذين تم إنهاء عملهم (من الإنهاء)</w:t>
            </w:r>
          </w:p>
        </w:tc>
        <w:tc>
          <w:tcPr>
            <w:tcW w:w="2063" w:type="dxa"/>
            <w:tcBorders>
              <w:top w:val="nil"/>
              <w:left w:val="nil"/>
              <w:bottom w:val="nil"/>
              <w:right w:val="nil"/>
            </w:tcBorders>
            <w:shd w:val="clear" w:color="auto" w:fill="auto"/>
            <w:noWrap/>
            <w:vAlign w:val="center"/>
            <w:hideMark/>
          </w:tcPr>
          <w:p w14:paraId="45A5982E" w14:textId="51A7FDEC" w:rsidR="00C26E34" w:rsidRPr="00C26E34" w:rsidRDefault="00C26E34" w:rsidP="00C26E34">
            <w:pPr>
              <w:widowControl/>
              <w:autoSpaceDE/>
              <w:autoSpaceDN/>
              <w:bidi/>
              <w:ind w:firstLineChars="300" w:firstLine="660"/>
            </w:pPr>
            <w:r>
              <w:rPr>
                <w:rtl/>
                <w:lang w:bidi="ar"/>
              </w:rPr>
              <w:t>5 سنوات</w:t>
            </w:r>
          </w:p>
        </w:tc>
      </w:tr>
      <w:tr w:rsidR="00C26E34" w:rsidRPr="00C26E34" w14:paraId="108DADE8" w14:textId="77777777" w:rsidTr="00C26E34">
        <w:trPr>
          <w:trHeight w:val="20"/>
        </w:trPr>
        <w:tc>
          <w:tcPr>
            <w:tcW w:w="7297" w:type="dxa"/>
            <w:tcBorders>
              <w:top w:val="nil"/>
              <w:left w:val="nil"/>
              <w:bottom w:val="nil"/>
              <w:right w:val="nil"/>
            </w:tcBorders>
            <w:shd w:val="clear" w:color="auto" w:fill="auto"/>
            <w:noWrap/>
            <w:vAlign w:val="center"/>
            <w:hideMark/>
          </w:tcPr>
          <w:p w14:paraId="3928809A" w14:textId="0C737711" w:rsidR="00C26E34" w:rsidRPr="00C26E34" w:rsidRDefault="00C26E34" w:rsidP="00C26E34">
            <w:pPr>
              <w:widowControl/>
              <w:autoSpaceDE/>
              <w:autoSpaceDN/>
              <w:bidi/>
              <w:ind w:leftChars="-49" w:left="24" w:hangingChars="60" w:hanging="132"/>
            </w:pPr>
            <w:r>
              <w:rPr>
                <w:rtl/>
                <w:lang w:bidi="ar"/>
              </w:rPr>
              <w:t>مستندات خطة التقاعد والمعاشات التقاعدية</w:t>
            </w:r>
          </w:p>
        </w:tc>
        <w:tc>
          <w:tcPr>
            <w:tcW w:w="2063" w:type="dxa"/>
            <w:tcBorders>
              <w:top w:val="nil"/>
              <w:left w:val="nil"/>
              <w:bottom w:val="nil"/>
              <w:right w:val="nil"/>
            </w:tcBorders>
            <w:shd w:val="clear" w:color="auto" w:fill="auto"/>
            <w:noWrap/>
            <w:vAlign w:val="center"/>
            <w:hideMark/>
          </w:tcPr>
          <w:p w14:paraId="61DA58CD" w14:textId="00091BCE" w:rsidR="00C26E34" w:rsidRPr="00C26E34" w:rsidRDefault="00C26E34" w:rsidP="00C26E34">
            <w:pPr>
              <w:widowControl/>
              <w:autoSpaceDE/>
              <w:autoSpaceDN/>
              <w:bidi/>
              <w:ind w:firstLineChars="300" w:firstLine="660"/>
            </w:pPr>
            <w:r>
              <w:rPr>
                <w:rtl/>
                <w:lang w:bidi="ar"/>
              </w:rPr>
              <w:t xml:space="preserve">غير محدد </w:t>
            </w:r>
          </w:p>
        </w:tc>
      </w:tr>
      <w:tr w:rsidR="00C26E34" w:rsidRPr="00C26E34" w14:paraId="1B883F7B" w14:textId="77777777" w:rsidTr="00C26E34">
        <w:trPr>
          <w:trHeight w:val="20"/>
        </w:trPr>
        <w:tc>
          <w:tcPr>
            <w:tcW w:w="7297" w:type="dxa"/>
            <w:tcBorders>
              <w:top w:val="nil"/>
              <w:left w:val="nil"/>
              <w:bottom w:val="nil"/>
              <w:right w:val="nil"/>
            </w:tcBorders>
            <w:shd w:val="clear" w:color="auto" w:fill="auto"/>
            <w:noWrap/>
            <w:vAlign w:val="center"/>
            <w:hideMark/>
          </w:tcPr>
          <w:p w14:paraId="2655534E" w14:textId="53BFCD7D" w:rsidR="00C26E34" w:rsidRPr="00C26E34" w:rsidRDefault="00C26E34" w:rsidP="00C26E34">
            <w:pPr>
              <w:widowControl/>
              <w:autoSpaceDE/>
              <w:autoSpaceDN/>
              <w:bidi/>
              <w:ind w:leftChars="-49" w:left="24" w:hangingChars="60" w:hanging="132"/>
            </w:pPr>
            <w:r>
              <w:rPr>
                <w:rtl/>
                <w:lang w:bidi="ar"/>
              </w:rPr>
              <w:t>السجلات المتعلقة بالترقية، أو خفض الدرجة، أو العزل(من الإنهاء)</w:t>
            </w:r>
          </w:p>
        </w:tc>
        <w:tc>
          <w:tcPr>
            <w:tcW w:w="2063" w:type="dxa"/>
            <w:tcBorders>
              <w:top w:val="nil"/>
              <w:left w:val="nil"/>
              <w:bottom w:val="nil"/>
              <w:right w:val="nil"/>
            </w:tcBorders>
            <w:shd w:val="clear" w:color="auto" w:fill="auto"/>
            <w:noWrap/>
            <w:vAlign w:val="center"/>
            <w:hideMark/>
          </w:tcPr>
          <w:p w14:paraId="3269AFC1" w14:textId="76D1E592" w:rsidR="00C26E34" w:rsidRPr="00C26E34" w:rsidRDefault="00C26E34" w:rsidP="00C26E34">
            <w:pPr>
              <w:widowControl/>
              <w:autoSpaceDE/>
              <w:autoSpaceDN/>
              <w:bidi/>
              <w:ind w:firstLineChars="300" w:firstLine="660"/>
            </w:pPr>
            <w:r>
              <w:rPr>
                <w:rtl/>
                <w:lang w:bidi="ar"/>
              </w:rPr>
              <w:t>3 سنوات</w:t>
            </w:r>
          </w:p>
        </w:tc>
      </w:tr>
      <w:tr w:rsidR="00C26E34" w:rsidRPr="00C26E34" w14:paraId="4517136D" w14:textId="77777777" w:rsidTr="00C26E34">
        <w:trPr>
          <w:trHeight w:val="20"/>
        </w:trPr>
        <w:tc>
          <w:tcPr>
            <w:tcW w:w="7297" w:type="dxa"/>
            <w:tcBorders>
              <w:top w:val="nil"/>
              <w:left w:val="nil"/>
              <w:bottom w:val="nil"/>
              <w:right w:val="nil"/>
            </w:tcBorders>
            <w:shd w:val="clear" w:color="auto" w:fill="auto"/>
            <w:noWrap/>
            <w:vAlign w:val="center"/>
            <w:hideMark/>
          </w:tcPr>
          <w:p w14:paraId="54F80648" w14:textId="3FA3F90E" w:rsidR="00C26E34" w:rsidRPr="00C26E34" w:rsidRDefault="00C26E34" w:rsidP="00C26E34">
            <w:pPr>
              <w:widowControl/>
              <w:autoSpaceDE/>
              <w:autoSpaceDN/>
              <w:bidi/>
              <w:ind w:leftChars="-49" w:left="24" w:hangingChars="60" w:hanging="132"/>
            </w:pPr>
            <w:r>
              <w:rPr>
                <w:rtl/>
                <w:lang w:bidi="ar"/>
              </w:rPr>
              <w:t xml:space="preserve"> التأمين الصحي/ المزايا</w:t>
            </w:r>
          </w:p>
        </w:tc>
        <w:tc>
          <w:tcPr>
            <w:tcW w:w="2063" w:type="dxa"/>
            <w:tcBorders>
              <w:top w:val="nil"/>
              <w:left w:val="nil"/>
              <w:bottom w:val="nil"/>
              <w:right w:val="nil"/>
            </w:tcBorders>
            <w:shd w:val="clear" w:color="auto" w:fill="auto"/>
            <w:noWrap/>
            <w:vAlign w:val="center"/>
            <w:hideMark/>
          </w:tcPr>
          <w:p w14:paraId="4A15E5A0" w14:textId="736314AF" w:rsidR="00C26E34" w:rsidRPr="00C26E34" w:rsidRDefault="00C26E34" w:rsidP="00C26E34">
            <w:pPr>
              <w:widowControl/>
              <w:autoSpaceDE/>
              <w:autoSpaceDN/>
              <w:bidi/>
              <w:ind w:firstLineChars="300" w:firstLine="660"/>
            </w:pPr>
            <w:r>
              <w:rPr>
                <w:rtl/>
                <w:lang w:bidi="ar"/>
              </w:rPr>
              <w:t>7 سنوات</w:t>
            </w:r>
          </w:p>
        </w:tc>
      </w:tr>
      <w:tr w:rsidR="00C26E34" w:rsidRPr="00C26E34" w14:paraId="539EC38F" w14:textId="77777777" w:rsidTr="00C26E34">
        <w:trPr>
          <w:trHeight w:val="20"/>
        </w:trPr>
        <w:tc>
          <w:tcPr>
            <w:tcW w:w="7297" w:type="dxa"/>
            <w:tcBorders>
              <w:top w:val="nil"/>
              <w:left w:val="nil"/>
              <w:bottom w:val="nil"/>
              <w:right w:val="nil"/>
            </w:tcBorders>
            <w:shd w:val="clear" w:color="auto" w:fill="auto"/>
            <w:noWrap/>
            <w:vAlign w:val="center"/>
            <w:hideMark/>
          </w:tcPr>
          <w:p w14:paraId="21511072" w14:textId="72BD2C13" w:rsidR="00C26E34" w:rsidRPr="00C26E34" w:rsidRDefault="00C26E34" w:rsidP="00C26E34">
            <w:pPr>
              <w:widowControl/>
              <w:autoSpaceDE/>
              <w:autoSpaceDN/>
              <w:bidi/>
              <w:ind w:leftChars="-49" w:left="24" w:hangingChars="60" w:hanging="132"/>
            </w:pPr>
            <w:r>
              <w:rPr>
                <w:rtl/>
                <w:lang w:bidi="ar"/>
              </w:rPr>
              <w:t>إخطارات فرص العمل</w:t>
            </w:r>
          </w:p>
        </w:tc>
        <w:tc>
          <w:tcPr>
            <w:tcW w:w="2063" w:type="dxa"/>
            <w:tcBorders>
              <w:top w:val="nil"/>
              <w:left w:val="nil"/>
              <w:bottom w:val="nil"/>
              <w:right w:val="nil"/>
            </w:tcBorders>
            <w:shd w:val="clear" w:color="auto" w:fill="auto"/>
            <w:noWrap/>
            <w:vAlign w:val="center"/>
            <w:hideMark/>
          </w:tcPr>
          <w:p w14:paraId="3DF0A2B5" w14:textId="5DC461DD" w:rsidR="00C26E34" w:rsidRPr="00C26E34" w:rsidRDefault="00C26E34" w:rsidP="00C26E34">
            <w:pPr>
              <w:widowControl/>
              <w:autoSpaceDE/>
              <w:autoSpaceDN/>
              <w:bidi/>
              <w:ind w:firstLineChars="300" w:firstLine="660"/>
            </w:pPr>
            <w:r>
              <w:rPr>
                <w:rtl/>
                <w:lang w:bidi="ar"/>
              </w:rPr>
              <w:t>سنة واحدة</w:t>
            </w:r>
          </w:p>
        </w:tc>
      </w:tr>
      <w:tr w:rsidR="00C26E34" w:rsidRPr="00C26E34" w14:paraId="5213122D" w14:textId="77777777" w:rsidTr="00C26E34">
        <w:trPr>
          <w:trHeight w:val="20"/>
        </w:trPr>
        <w:tc>
          <w:tcPr>
            <w:tcW w:w="7297" w:type="dxa"/>
            <w:tcBorders>
              <w:top w:val="nil"/>
              <w:left w:val="nil"/>
              <w:bottom w:val="nil"/>
              <w:right w:val="nil"/>
            </w:tcBorders>
            <w:shd w:val="clear" w:color="auto" w:fill="auto"/>
            <w:noWrap/>
            <w:vAlign w:val="center"/>
            <w:hideMark/>
          </w:tcPr>
          <w:p w14:paraId="0CC11B92" w14:textId="47987BD7" w:rsidR="00C26E34" w:rsidRPr="00C26E34" w:rsidRDefault="00C26E34" w:rsidP="00C26E34">
            <w:pPr>
              <w:widowControl/>
              <w:autoSpaceDE/>
              <w:autoSpaceDN/>
              <w:bidi/>
              <w:ind w:leftChars="-49" w:left="24" w:hangingChars="60" w:hanging="132"/>
            </w:pPr>
            <w:r>
              <w:rPr>
                <w:rtl/>
                <w:lang w:bidi="ar"/>
              </w:rPr>
              <w:t xml:space="preserve">نماذج </w:t>
            </w:r>
            <w:r>
              <w:t>I-9</w:t>
            </w:r>
            <w:r>
              <w:rPr>
                <w:rtl/>
                <w:lang w:bidi="ar"/>
              </w:rPr>
              <w:t xml:space="preserve"> (بعد الإنهاء)</w:t>
            </w:r>
          </w:p>
        </w:tc>
        <w:tc>
          <w:tcPr>
            <w:tcW w:w="2063" w:type="dxa"/>
            <w:tcBorders>
              <w:top w:val="nil"/>
              <w:left w:val="nil"/>
              <w:bottom w:val="nil"/>
              <w:right w:val="nil"/>
            </w:tcBorders>
            <w:shd w:val="clear" w:color="auto" w:fill="auto"/>
            <w:noWrap/>
            <w:vAlign w:val="center"/>
            <w:hideMark/>
          </w:tcPr>
          <w:p w14:paraId="674B629D" w14:textId="39503914" w:rsidR="00C26E34" w:rsidRPr="00C26E34" w:rsidRDefault="00C26E34" w:rsidP="00C26E34">
            <w:pPr>
              <w:widowControl/>
              <w:autoSpaceDE/>
              <w:autoSpaceDN/>
              <w:bidi/>
              <w:ind w:firstLineChars="300" w:firstLine="660"/>
            </w:pPr>
            <w:r>
              <w:rPr>
                <w:rtl/>
                <w:lang w:bidi="ar"/>
              </w:rPr>
              <w:t>3 سنوات</w:t>
            </w:r>
          </w:p>
        </w:tc>
      </w:tr>
      <w:tr w:rsidR="00C26E34" w:rsidRPr="00C26E34" w14:paraId="0CE0910A" w14:textId="77777777" w:rsidTr="00C26E34">
        <w:trPr>
          <w:trHeight w:val="20"/>
        </w:trPr>
        <w:tc>
          <w:tcPr>
            <w:tcW w:w="7297" w:type="dxa"/>
            <w:tcBorders>
              <w:top w:val="nil"/>
              <w:left w:val="nil"/>
              <w:bottom w:val="nil"/>
              <w:right w:val="nil"/>
            </w:tcBorders>
            <w:shd w:val="clear" w:color="auto" w:fill="auto"/>
            <w:noWrap/>
            <w:vAlign w:val="center"/>
            <w:hideMark/>
          </w:tcPr>
          <w:p w14:paraId="40AD2CD4" w14:textId="0A769ADB" w:rsidR="00C26E34" w:rsidRPr="00C26E34" w:rsidRDefault="00C26E34" w:rsidP="00C26E34">
            <w:pPr>
              <w:widowControl/>
              <w:autoSpaceDE/>
              <w:autoSpaceDN/>
              <w:bidi/>
              <w:ind w:leftChars="-49" w:left="24" w:hangingChars="60" w:hanging="132"/>
            </w:pPr>
            <w:r>
              <w:rPr>
                <w:rtl/>
                <w:lang w:bidi="ar"/>
              </w:rPr>
              <w:t>بطاقات الوقت</w:t>
            </w:r>
          </w:p>
        </w:tc>
        <w:tc>
          <w:tcPr>
            <w:tcW w:w="2063" w:type="dxa"/>
            <w:tcBorders>
              <w:top w:val="nil"/>
              <w:left w:val="nil"/>
              <w:bottom w:val="nil"/>
              <w:right w:val="nil"/>
            </w:tcBorders>
            <w:shd w:val="clear" w:color="auto" w:fill="auto"/>
            <w:noWrap/>
            <w:vAlign w:val="center"/>
            <w:hideMark/>
          </w:tcPr>
          <w:p w14:paraId="4E9D8ABF" w14:textId="69CA3E91" w:rsidR="00C26E34" w:rsidRPr="00C26E34" w:rsidRDefault="00C26E34" w:rsidP="00C26E34">
            <w:pPr>
              <w:widowControl/>
              <w:autoSpaceDE/>
              <w:autoSpaceDN/>
              <w:bidi/>
              <w:ind w:firstLineChars="300" w:firstLine="660"/>
            </w:pPr>
            <w:r>
              <w:rPr>
                <w:rtl/>
                <w:lang w:bidi="ar"/>
              </w:rPr>
              <w:t>3 سنوات</w:t>
            </w:r>
          </w:p>
        </w:tc>
      </w:tr>
      <w:tr w:rsidR="00C26E34" w:rsidRPr="00C26E34" w14:paraId="7818F827" w14:textId="77777777" w:rsidTr="00C26E34">
        <w:trPr>
          <w:trHeight w:val="20"/>
        </w:trPr>
        <w:tc>
          <w:tcPr>
            <w:tcW w:w="7297" w:type="dxa"/>
            <w:tcBorders>
              <w:top w:val="nil"/>
              <w:left w:val="nil"/>
              <w:bottom w:val="nil"/>
              <w:right w:val="nil"/>
            </w:tcBorders>
            <w:shd w:val="clear" w:color="auto" w:fill="auto"/>
            <w:noWrap/>
            <w:vAlign w:val="center"/>
            <w:hideMark/>
          </w:tcPr>
          <w:p w14:paraId="1E28E355" w14:textId="3F328956" w:rsidR="00C26E34" w:rsidRPr="00C26E34" w:rsidRDefault="00C26E34" w:rsidP="00C26E34">
            <w:pPr>
              <w:widowControl/>
              <w:autoSpaceDE/>
              <w:autoSpaceDN/>
              <w:bidi/>
              <w:ind w:leftChars="-49" w:left="24" w:hangingChars="60" w:hanging="132"/>
            </w:pPr>
            <w:r>
              <w:rPr>
                <w:rtl/>
                <w:lang w:bidi="ar"/>
              </w:rPr>
              <w:t>جداول الرواتب</w:t>
            </w:r>
          </w:p>
        </w:tc>
        <w:tc>
          <w:tcPr>
            <w:tcW w:w="2063" w:type="dxa"/>
            <w:tcBorders>
              <w:top w:val="nil"/>
              <w:left w:val="nil"/>
              <w:bottom w:val="nil"/>
              <w:right w:val="nil"/>
            </w:tcBorders>
            <w:shd w:val="clear" w:color="auto" w:fill="auto"/>
            <w:noWrap/>
            <w:vAlign w:val="center"/>
            <w:hideMark/>
          </w:tcPr>
          <w:p w14:paraId="21A5FE49" w14:textId="6B3BA66F" w:rsidR="00C26E34" w:rsidRPr="00C26E34" w:rsidRDefault="00C26E34" w:rsidP="00C26E34">
            <w:pPr>
              <w:widowControl/>
              <w:autoSpaceDE/>
              <w:autoSpaceDN/>
              <w:bidi/>
              <w:ind w:firstLineChars="300" w:firstLine="660"/>
            </w:pPr>
            <w:r>
              <w:rPr>
                <w:rtl/>
                <w:lang w:bidi="ar"/>
              </w:rPr>
              <w:t>5 سنوات</w:t>
            </w:r>
          </w:p>
        </w:tc>
      </w:tr>
      <w:tr w:rsidR="00C26E34" w:rsidRPr="00C26E34" w14:paraId="66001BD9" w14:textId="77777777" w:rsidTr="00C26E34">
        <w:trPr>
          <w:trHeight w:val="20"/>
        </w:trPr>
        <w:tc>
          <w:tcPr>
            <w:tcW w:w="7297" w:type="dxa"/>
            <w:tcBorders>
              <w:top w:val="nil"/>
              <w:left w:val="nil"/>
              <w:bottom w:val="nil"/>
              <w:right w:val="nil"/>
            </w:tcBorders>
            <w:shd w:val="clear" w:color="auto" w:fill="auto"/>
            <w:noWrap/>
            <w:vAlign w:val="center"/>
            <w:hideMark/>
          </w:tcPr>
          <w:p w14:paraId="70F4F4DD" w14:textId="70207F1D" w:rsidR="00C26E34" w:rsidRPr="00C26E34" w:rsidRDefault="00C26E34" w:rsidP="00C26E34">
            <w:pPr>
              <w:widowControl/>
              <w:autoSpaceDE/>
              <w:autoSpaceDN/>
              <w:bidi/>
              <w:ind w:leftChars="-49" w:left="24" w:hangingChars="60" w:hanging="132"/>
            </w:pPr>
            <w:r>
              <w:rPr>
                <w:rtl/>
                <w:lang w:bidi="ar"/>
              </w:rPr>
              <w:t>سجلات قانون الإجازة العائلية والطبية</w:t>
            </w:r>
          </w:p>
        </w:tc>
        <w:tc>
          <w:tcPr>
            <w:tcW w:w="2063" w:type="dxa"/>
            <w:tcBorders>
              <w:top w:val="nil"/>
              <w:left w:val="nil"/>
              <w:bottom w:val="nil"/>
              <w:right w:val="nil"/>
            </w:tcBorders>
            <w:shd w:val="clear" w:color="auto" w:fill="auto"/>
            <w:noWrap/>
            <w:vAlign w:val="center"/>
            <w:hideMark/>
          </w:tcPr>
          <w:p w14:paraId="0062B681" w14:textId="4C652C7A" w:rsidR="00C26E34" w:rsidRPr="00C26E34" w:rsidRDefault="00C26E34" w:rsidP="00C26E34">
            <w:pPr>
              <w:widowControl/>
              <w:autoSpaceDE/>
              <w:autoSpaceDN/>
              <w:bidi/>
              <w:ind w:firstLineChars="300" w:firstLine="660"/>
            </w:pPr>
            <w:r>
              <w:rPr>
                <w:rtl/>
                <w:lang w:bidi="ar"/>
              </w:rPr>
              <w:t>3 سنوات</w:t>
            </w:r>
          </w:p>
        </w:tc>
      </w:tr>
      <w:tr w:rsidR="00C26E34" w:rsidRPr="00C26E34" w14:paraId="5442FE15" w14:textId="77777777" w:rsidTr="00C26E34">
        <w:trPr>
          <w:trHeight w:val="20"/>
        </w:trPr>
        <w:tc>
          <w:tcPr>
            <w:tcW w:w="7297" w:type="dxa"/>
            <w:tcBorders>
              <w:top w:val="nil"/>
              <w:left w:val="nil"/>
              <w:bottom w:val="nil"/>
              <w:right w:val="nil"/>
            </w:tcBorders>
            <w:shd w:val="clear" w:color="auto" w:fill="auto"/>
            <w:noWrap/>
            <w:vAlign w:val="center"/>
            <w:hideMark/>
          </w:tcPr>
          <w:p w14:paraId="2D393B63" w14:textId="170BE90A" w:rsidR="00C26E34" w:rsidRPr="00C26E34" w:rsidRDefault="00C26E34" w:rsidP="00C26E34">
            <w:pPr>
              <w:widowControl/>
              <w:autoSpaceDE/>
              <w:autoSpaceDN/>
              <w:bidi/>
              <w:ind w:leftChars="-49" w:left="24" w:hangingChars="60" w:hanging="132"/>
            </w:pPr>
            <w:r>
              <w:rPr>
                <w:rtl/>
                <w:lang w:bidi="ar"/>
              </w:rPr>
              <w:t>تقارير الحوادث وسجلات تعويض العمال</w:t>
            </w:r>
          </w:p>
        </w:tc>
        <w:tc>
          <w:tcPr>
            <w:tcW w:w="2063" w:type="dxa"/>
            <w:tcBorders>
              <w:top w:val="nil"/>
              <w:left w:val="nil"/>
              <w:bottom w:val="nil"/>
              <w:right w:val="nil"/>
            </w:tcBorders>
            <w:shd w:val="clear" w:color="auto" w:fill="auto"/>
            <w:noWrap/>
            <w:vAlign w:val="center"/>
            <w:hideMark/>
          </w:tcPr>
          <w:p w14:paraId="07A807E1" w14:textId="49942905" w:rsidR="00C26E34" w:rsidRPr="00C26E34" w:rsidRDefault="00C26E34" w:rsidP="00C26E34">
            <w:pPr>
              <w:widowControl/>
              <w:autoSpaceDE/>
              <w:autoSpaceDN/>
              <w:bidi/>
              <w:ind w:firstLineChars="300" w:firstLine="660"/>
            </w:pPr>
            <w:r>
              <w:rPr>
                <w:rtl/>
                <w:lang w:bidi="ar"/>
              </w:rPr>
              <w:t>5 سنوات</w:t>
            </w:r>
          </w:p>
        </w:tc>
      </w:tr>
      <w:tr w:rsidR="00C26E34" w:rsidRPr="00C26E34" w14:paraId="2978E7F7" w14:textId="77777777" w:rsidTr="00C26E34">
        <w:trPr>
          <w:trHeight w:val="20"/>
        </w:trPr>
        <w:tc>
          <w:tcPr>
            <w:tcW w:w="7297"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6F18E793" w14:textId="311573D6" w:rsidR="00C26E34" w:rsidRPr="00C26E34" w:rsidRDefault="00C26E34" w:rsidP="00C26E34">
            <w:pPr>
              <w:widowControl/>
              <w:autoSpaceDE/>
              <w:autoSpaceDN/>
              <w:ind w:firstLineChars="300" w:firstLine="660"/>
            </w:pPr>
          </w:p>
        </w:tc>
      </w:tr>
      <w:tr w:rsidR="00C26E34" w:rsidRPr="00C26E34" w14:paraId="76C5FDB9" w14:textId="77777777" w:rsidTr="00C26E34">
        <w:trPr>
          <w:trHeight w:val="20"/>
        </w:trPr>
        <w:tc>
          <w:tcPr>
            <w:tcW w:w="7297" w:type="dxa"/>
            <w:tcBorders>
              <w:top w:val="nil"/>
              <w:left w:val="nil"/>
              <w:bottom w:val="nil"/>
              <w:right w:val="nil"/>
            </w:tcBorders>
            <w:shd w:val="clear" w:color="auto" w:fill="auto"/>
            <w:noWrap/>
            <w:vAlign w:val="center"/>
            <w:hideMark/>
          </w:tcPr>
          <w:p w14:paraId="1E67C86C" w14:textId="1F09A193" w:rsidR="00C26E34" w:rsidRPr="00C26E34" w:rsidRDefault="00C26E34" w:rsidP="00C26E34">
            <w:pPr>
              <w:widowControl/>
              <w:autoSpaceDE/>
              <w:autoSpaceDN/>
              <w:bidi/>
              <w:ind w:leftChars="-49" w:left="24" w:hangingChars="60" w:hanging="132"/>
            </w:pPr>
            <w:r>
              <w:rPr>
                <w:rtl/>
                <w:lang w:bidi="ar"/>
              </w:rPr>
              <w:t>مستندات النقل، والمرور، والشحن، والوكالة</w:t>
            </w:r>
          </w:p>
        </w:tc>
        <w:tc>
          <w:tcPr>
            <w:tcW w:w="2063" w:type="dxa"/>
            <w:tcBorders>
              <w:top w:val="nil"/>
              <w:left w:val="nil"/>
              <w:bottom w:val="nil"/>
              <w:right w:val="nil"/>
            </w:tcBorders>
            <w:shd w:val="clear" w:color="auto" w:fill="auto"/>
            <w:noWrap/>
            <w:vAlign w:val="bottom"/>
            <w:hideMark/>
          </w:tcPr>
          <w:p w14:paraId="0E809AF9" w14:textId="77777777" w:rsidR="00C26E34" w:rsidRPr="00C26E34" w:rsidRDefault="00C26E34" w:rsidP="00C26E34">
            <w:pPr>
              <w:widowControl/>
              <w:autoSpaceDE/>
              <w:autoSpaceDN/>
            </w:pPr>
          </w:p>
        </w:tc>
      </w:tr>
      <w:tr w:rsidR="00C26E34" w:rsidRPr="00C26E34" w14:paraId="0F31161A" w14:textId="77777777" w:rsidTr="00C26E34">
        <w:trPr>
          <w:trHeight w:val="20"/>
        </w:trPr>
        <w:tc>
          <w:tcPr>
            <w:tcW w:w="7297" w:type="dxa"/>
            <w:tcBorders>
              <w:top w:val="nil"/>
              <w:left w:val="nil"/>
              <w:bottom w:val="nil"/>
              <w:right w:val="nil"/>
            </w:tcBorders>
            <w:shd w:val="clear" w:color="auto" w:fill="auto"/>
            <w:noWrap/>
            <w:vAlign w:val="center"/>
            <w:hideMark/>
          </w:tcPr>
          <w:p w14:paraId="24A3960C" w14:textId="3B04DFAF" w:rsidR="00C26E34" w:rsidRPr="00C26E34" w:rsidRDefault="00C26E34" w:rsidP="00C26E34">
            <w:pPr>
              <w:widowControl/>
              <w:autoSpaceDE/>
              <w:autoSpaceDN/>
              <w:bidi/>
              <w:ind w:leftChars="-49" w:left="24" w:hangingChars="60" w:hanging="132"/>
            </w:pPr>
            <w:r>
              <w:rPr>
                <w:rtl/>
                <w:lang w:bidi="ar"/>
              </w:rPr>
              <w:t>سندات الشحن، بوالص الشحن/ بوالص اشحن البحري والمخالصات</w:t>
            </w:r>
          </w:p>
        </w:tc>
        <w:tc>
          <w:tcPr>
            <w:tcW w:w="2063" w:type="dxa"/>
            <w:tcBorders>
              <w:top w:val="nil"/>
              <w:left w:val="nil"/>
              <w:bottom w:val="nil"/>
              <w:right w:val="nil"/>
            </w:tcBorders>
            <w:shd w:val="clear" w:color="auto" w:fill="auto"/>
            <w:noWrap/>
            <w:vAlign w:val="center"/>
            <w:hideMark/>
          </w:tcPr>
          <w:p w14:paraId="32C01D4E" w14:textId="4506027B" w:rsidR="00C26E34" w:rsidRPr="00C26E34" w:rsidRDefault="00C26E34" w:rsidP="00C26E34">
            <w:pPr>
              <w:widowControl/>
              <w:autoSpaceDE/>
              <w:autoSpaceDN/>
              <w:bidi/>
              <w:ind w:firstLineChars="300" w:firstLine="660"/>
            </w:pPr>
            <w:r>
              <w:rPr>
                <w:rtl/>
                <w:lang w:bidi="ar"/>
              </w:rPr>
              <w:t>6 سنوات</w:t>
            </w:r>
          </w:p>
        </w:tc>
      </w:tr>
      <w:tr w:rsidR="00C26E34" w:rsidRPr="00C26E34" w14:paraId="63D4FB63" w14:textId="77777777" w:rsidTr="00C26E34">
        <w:trPr>
          <w:trHeight w:val="20"/>
        </w:trPr>
        <w:tc>
          <w:tcPr>
            <w:tcW w:w="7297" w:type="dxa"/>
            <w:tcBorders>
              <w:top w:val="nil"/>
              <w:left w:val="nil"/>
              <w:bottom w:val="nil"/>
              <w:right w:val="nil"/>
            </w:tcBorders>
            <w:shd w:val="clear" w:color="auto" w:fill="auto"/>
            <w:noWrap/>
            <w:vAlign w:val="center"/>
            <w:hideMark/>
          </w:tcPr>
          <w:p w14:paraId="692991F9" w14:textId="3C14612F" w:rsidR="00C26E34" w:rsidRPr="00C26E34" w:rsidRDefault="00C26E34" w:rsidP="00C26E34">
            <w:pPr>
              <w:widowControl/>
              <w:autoSpaceDE/>
              <w:autoSpaceDN/>
              <w:bidi/>
              <w:ind w:leftChars="-49" w:left="24" w:hangingChars="60" w:hanging="132"/>
            </w:pPr>
            <w:r>
              <w:rPr>
                <w:rtl/>
                <w:lang w:bidi="ar"/>
              </w:rPr>
              <w:t>سجلات الاستيراد والتصدير</w:t>
            </w:r>
          </w:p>
        </w:tc>
        <w:tc>
          <w:tcPr>
            <w:tcW w:w="2063" w:type="dxa"/>
            <w:tcBorders>
              <w:top w:val="nil"/>
              <w:left w:val="nil"/>
              <w:bottom w:val="nil"/>
              <w:right w:val="nil"/>
            </w:tcBorders>
            <w:shd w:val="clear" w:color="auto" w:fill="auto"/>
            <w:noWrap/>
            <w:vAlign w:val="center"/>
            <w:hideMark/>
          </w:tcPr>
          <w:p w14:paraId="7AD1F5F0" w14:textId="7C717915" w:rsidR="00C26E34" w:rsidRPr="00C26E34" w:rsidRDefault="00C26E34" w:rsidP="00C26E34">
            <w:pPr>
              <w:widowControl/>
              <w:autoSpaceDE/>
              <w:autoSpaceDN/>
              <w:bidi/>
              <w:ind w:firstLineChars="300" w:firstLine="660"/>
            </w:pPr>
            <w:r>
              <w:rPr>
                <w:rtl/>
                <w:lang w:bidi="ar"/>
              </w:rPr>
              <w:t>7 سنوات</w:t>
            </w:r>
          </w:p>
        </w:tc>
      </w:tr>
      <w:tr w:rsidR="00C26E34" w:rsidRPr="00C26E34" w14:paraId="080327B5" w14:textId="77777777" w:rsidTr="00C26E34">
        <w:trPr>
          <w:trHeight w:val="20"/>
        </w:trPr>
        <w:tc>
          <w:tcPr>
            <w:tcW w:w="7297" w:type="dxa"/>
            <w:tcBorders>
              <w:top w:val="nil"/>
              <w:left w:val="nil"/>
              <w:bottom w:val="nil"/>
              <w:right w:val="nil"/>
            </w:tcBorders>
            <w:shd w:val="clear" w:color="auto" w:fill="auto"/>
            <w:noWrap/>
            <w:vAlign w:val="center"/>
            <w:hideMark/>
          </w:tcPr>
          <w:p w14:paraId="7CBCE0E6" w14:textId="15268F76" w:rsidR="00C26E34" w:rsidRPr="00C26E34" w:rsidRDefault="00C26E34" w:rsidP="00C26E34">
            <w:pPr>
              <w:widowControl/>
              <w:autoSpaceDE/>
              <w:autoSpaceDN/>
              <w:bidi/>
              <w:ind w:leftChars="-49" w:left="24" w:hangingChars="60" w:hanging="132"/>
            </w:pPr>
            <w:r>
              <w:rPr>
                <w:rtl/>
                <w:lang w:bidi="ar"/>
              </w:rPr>
              <w:t>سجلات الشحن الأخرى (سجلات الشحن المستلمة والمرسلة والمسلمة)</w:t>
            </w:r>
          </w:p>
        </w:tc>
        <w:tc>
          <w:tcPr>
            <w:tcW w:w="2063" w:type="dxa"/>
            <w:tcBorders>
              <w:top w:val="nil"/>
              <w:left w:val="nil"/>
              <w:bottom w:val="nil"/>
              <w:right w:val="nil"/>
            </w:tcBorders>
            <w:shd w:val="clear" w:color="auto" w:fill="auto"/>
            <w:noWrap/>
            <w:vAlign w:val="center"/>
            <w:hideMark/>
          </w:tcPr>
          <w:p w14:paraId="750CD2E2" w14:textId="3BAE40F6" w:rsidR="00C26E34" w:rsidRPr="00C26E34" w:rsidRDefault="00C26E34" w:rsidP="00C26E34">
            <w:pPr>
              <w:widowControl/>
              <w:autoSpaceDE/>
              <w:autoSpaceDN/>
              <w:bidi/>
              <w:ind w:firstLineChars="300" w:firstLine="660"/>
            </w:pPr>
            <w:r>
              <w:rPr>
                <w:rtl/>
                <w:lang w:bidi="ar"/>
              </w:rPr>
              <w:t xml:space="preserve">6 سنوات </w:t>
            </w:r>
          </w:p>
        </w:tc>
      </w:tr>
      <w:tr w:rsidR="00C26E34" w:rsidRPr="00C26E34" w14:paraId="29E7DD8B" w14:textId="77777777" w:rsidTr="00C26E34">
        <w:trPr>
          <w:trHeight w:val="20"/>
        </w:trPr>
        <w:tc>
          <w:tcPr>
            <w:tcW w:w="7297" w:type="dxa"/>
            <w:tcBorders>
              <w:top w:val="nil"/>
              <w:left w:val="nil"/>
              <w:bottom w:val="nil"/>
              <w:right w:val="nil"/>
            </w:tcBorders>
            <w:shd w:val="clear" w:color="auto" w:fill="auto"/>
            <w:noWrap/>
            <w:vAlign w:val="center"/>
            <w:hideMark/>
          </w:tcPr>
          <w:p w14:paraId="7C170B1D" w14:textId="1C05B8F5" w:rsidR="00C26E34" w:rsidRPr="00C26E34" w:rsidRDefault="00C26E34" w:rsidP="00C26E34">
            <w:pPr>
              <w:widowControl/>
              <w:autoSpaceDE/>
              <w:autoSpaceDN/>
              <w:bidi/>
              <w:ind w:leftChars="-49" w:left="24" w:hangingChars="60" w:hanging="132"/>
            </w:pPr>
            <w:r>
              <w:rPr>
                <w:rtl/>
                <w:lang w:bidi="ar"/>
              </w:rPr>
              <w:t>عقود الشحن (بعد انتهاء السريان)</w:t>
            </w:r>
          </w:p>
        </w:tc>
        <w:tc>
          <w:tcPr>
            <w:tcW w:w="2063" w:type="dxa"/>
            <w:tcBorders>
              <w:top w:val="nil"/>
              <w:left w:val="nil"/>
              <w:bottom w:val="nil"/>
              <w:right w:val="nil"/>
            </w:tcBorders>
            <w:shd w:val="clear" w:color="auto" w:fill="auto"/>
            <w:noWrap/>
            <w:vAlign w:val="center"/>
            <w:hideMark/>
          </w:tcPr>
          <w:p w14:paraId="1B1258DD" w14:textId="55AAFD42" w:rsidR="00C26E34" w:rsidRPr="00C26E34" w:rsidRDefault="00C26E34" w:rsidP="00C26E34">
            <w:pPr>
              <w:widowControl/>
              <w:autoSpaceDE/>
              <w:autoSpaceDN/>
              <w:bidi/>
              <w:ind w:firstLineChars="300" w:firstLine="660"/>
            </w:pPr>
            <w:r>
              <w:rPr>
                <w:rtl/>
                <w:lang w:bidi="ar"/>
              </w:rPr>
              <w:t>3 سنوات</w:t>
            </w:r>
          </w:p>
        </w:tc>
      </w:tr>
      <w:tr w:rsidR="00C26E34" w:rsidRPr="00C26E34" w14:paraId="13C039F1" w14:textId="77777777" w:rsidTr="00C26E34">
        <w:trPr>
          <w:trHeight w:val="20"/>
        </w:trPr>
        <w:tc>
          <w:tcPr>
            <w:tcW w:w="7297" w:type="dxa"/>
            <w:tcBorders>
              <w:top w:val="nil"/>
              <w:left w:val="nil"/>
              <w:bottom w:val="nil"/>
              <w:right w:val="nil"/>
            </w:tcBorders>
            <w:shd w:val="clear" w:color="auto" w:fill="auto"/>
            <w:noWrap/>
            <w:vAlign w:val="center"/>
            <w:hideMark/>
          </w:tcPr>
          <w:p w14:paraId="3F2AED5F" w14:textId="147B1DA1" w:rsidR="00C26E34" w:rsidRPr="00C26E34" w:rsidRDefault="00C26E34" w:rsidP="00C26E34">
            <w:pPr>
              <w:widowControl/>
              <w:autoSpaceDE/>
              <w:autoSpaceDN/>
              <w:bidi/>
              <w:ind w:leftChars="-49" w:left="24" w:hangingChars="60" w:hanging="132"/>
            </w:pPr>
            <w:r>
              <w:rPr>
                <w:rtl/>
                <w:lang w:bidi="ar"/>
              </w:rPr>
              <w:t xml:space="preserve">ملفات السائقين، بما في ذلك ملفات تأهيل السائقين، وسجلات ساعات الخدمة، والمخدرات، والكحول </w:t>
            </w:r>
          </w:p>
        </w:tc>
        <w:tc>
          <w:tcPr>
            <w:tcW w:w="2063" w:type="dxa"/>
            <w:tcBorders>
              <w:top w:val="nil"/>
              <w:left w:val="nil"/>
              <w:bottom w:val="nil"/>
              <w:right w:val="nil"/>
            </w:tcBorders>
            <w:shd w:val="clear" w:color="auto" w:fill="auto"/>
            <w:noWrap/>
            <w:vAlign w:val="center"/>
            <w:hideMark/>
          </w:tcPr>
          <w:p w14:paraId="6CE1211D" w14:textId="0AD7A2D4" w:rsidR="00C26E34" w:rsidRPr="00C26E34" w:rsidRDefault="00C26E34" w:rsidP="00C26E34">
            <w:pPr>
              <w:widowControl/>
              <w:autoSpaceDE/>
              <w:autoSpaceDN/>
              <w:bidi/>
              <w:ind w:firstLineChars="300" w:firstLine="660"/>
            </w:pPr>
            <w:r>
              <w:rPr>
                <w:rtl/>
                <w:lang w:bidi="ar"/>
              </w:rPr>
              <w:t>3 سنوات</w:t>
            </w:r>
          </w:p>
        </w:tc>
      </w:tr>
      <w:tr w:rsidR="00C26E34" w:rsidRPr="00C26E34" w14:paraId="3B195511" w14:textId="77777777" w:rsidTr="00C26E34">
        <w:trPr>
          <w:trHeight w:val="20"/>
        </w:trPr>
        <w:tc>
          <w:tcPr>
            <w:tcW w:w="7297" w:type="dxa"/>
            <w:tcBorders>
              <w:top w:val="nil"/>
              <w:left w:val="nil"/>
              <w:bottom w:val="nil"/>
              <w:right w:val="nil"/>
            </w:tcBorders>
            <w:shd w:val="clear" w:color="auto" w:fill="auto"/>
            <w:noWrap/>
            <w:vAlign w:val="center"/>
            <w:hideMark/>
          </w:tcPr>
          <w:p w14:paraId="507B9550" w14:textId="28F99232" w:rsidR="00C26E34" w:rsidRPr="00C26E34" w:rsidRDefault="00C26E34" w:rsidP="00C26E34">
            <w:pPr>
              <w:widowControl/>
              <w:autoSpaceDE/>
              <w:autoSpaceDN/>
              <w:bidi/>
              <w:ind w:leftChars="-49" w:left="24" w:hangingChars="60" w:hanging="132"/>
            </w:pPr>
            <w:r>
              <w:rPr>
                <w:rtl/>
                <w:lang w:bidi="ar"/>
              </w:rPr>
              <w:t xml:space="preserve">مدة الاختبار بالإضافة إلى مدة التوظيف </w:t>
            </w:r>
          </w:p>
        </w:tc>
        <w:tc>
          <w:tcPr>
            <w:tcW w:w="2063" w:type="dxa"/>
            <w:tcBorders>
              <w:top w:val="nil"/>
              <w:left w:val="nil"/>
              <w:bottom w:val="nil"/>
              <w:right w:val="nil"/>
            </w:tcBorders>
            <w:shd w:val="clear" w:color="auto" w:fill="auto"/>
            <w:noWrap/>
            <w:vAlign w:val="bottom"/>
            <w:hideMark/>
          </w:tcPr>
          <w:p w14:paraId="301BF1D5" w14:textId="096A544B" w:rsidR="00C26E34" w:rsidRPr="00C26E34" w:rsidRDefault="00C26E34" w:rsidP="00C26E34">
            <w:pPr>
              <w:widowControl/>
              <w:autoSpaceDE/>
              <w:autoSpaceDN/>
              <w:ind w:firstLineChars="300" w:firstLine="660"/>
            </w:pPr>
          </w:p>
        </w:tc>
      </w:tr>
    </w:tbl>
    <w:p w14:paraId="0A27633A" w14:textId="77777777" w:rsidR="00C26E34" w:rsidRPr="00C26E34" w:rsidRDefault="00C26E34">
      <w:pPr>
        <w:spacing w:line="237" w:lineRule="auto"/>
        <w:sectPr w:rsidR="00C26E34" w:rsidRPr="00C26E34">
          <w:headerReference w:type="default" r:id="rId9"/>
          <w:pgSz w:w="12240" w:h="15840"/>
          <w:pgMar w:top="1980" w:right="60" w:bottom="280" w:left="900" w:header="667" w:footer="0" w:gutter="0"/>
          <w:cols w:space="720"/>
        </w:sectPr>
      </w:pPr>
    </w:p>
    <w:tbl>
      <w:tblPr>
        <w:bidiVisual/>
        <w:tblW w:w="9365" w:type="dxa"/>
        <w:tblInd w:w="675" w:type="dxa"/>
        <w:tblLook w:val="04A0" w:firstRow="1" w:lastRow="0" w:firstColumn="1" w:lastColumn="0" w:noHBand="0" w:noVBand="1"/>
      </w:tblPr>
      <w:tblGrid>
        <w:gridCol w:w="7221"/>
        <w:gridCol w:w="2144"/>
      </w:tblGrid>
      <w:tr w:rsidR="003F56A3" w:rsidRPr="003F56A3" w14:paraId="5D230752" w14:textId="77777777" w:rsidTr="003F56A3">
        <w:trPr>
          <w:trHeight w:val="20"/>
        </w:trPr>
        <w:tc>
          <w:tcPr>
            <w:tcW w:w="7221" w:type="dxa"/>
            <w:tcBorders>
              <w:top w:val="nil"/>
              <w:left w:val="nil"/>
              <w:bottom w:val="nil"/>
              <w:right w:val="nil"/>
            </w:tcBorders>
            <w:shd w:val="clear" w:color="auto" w:fill="auto"/>
            <w:vAlign w:val="bottom"/>
            <w:hideMark/>
          </w:tcPr>
          <w:p w14:paraId="769B110A" w14:textId="77777777" w:rsidR="003F56A3" w:rsidRPr="003F56A3" w:rsidRDefault="003F56A3" w:rsidP="003F56A3">
            <w:pPr>
              <w:widowControl/>
              <w:autoSpaceDE/>
              <w:autoSpaceDN/>
              <w:bidi/>
              <w:rPr>
                <w:color w:val="000000"/>
              </w:rPr>
            </w:pPr>
            <w:r>
              <w:rPr>
                <w:color w:val="000000"/>
                <w:rtl/>
                <w:lang w:bidi="ar"/>
              </w:rPr>
              <w:lastRenderedPageBreak/>
              <w:t>ملفات المركبات، بما في ذلك سجلات صيانة المركبات وتقارير الفحص وسجلات الحوادث</w:t>
            </w:r>
          </w:p>
        </w:tc>
        <w:tc>
          <w:tcPr>
            <w:tcW w:w="2139" w:type="dxa"/>
            <w:tcBorders>
              <w:top w:val="nil"/>
              <w:left w:val="nil"/>
              <w:bottom w:val="nil"/>
              <w:right w:val="nil"/>
            </w:tcBorders>
            <w:shd w:val="clear" w:color="auto" w:fill="auto"/>
            <w:vAlign w:val="bottom"/>
            <w:hideMark/>
          </w:tcPr>
          <w:p w14:paraId="35E995C2" w14:textId="77777777" w:rsidR="003F56A3" w:rsidRPr="003F56A3" w:rsidRDefault="003F56A3" w:rsidP="003F56A3">
            <w:pPr>
              <w:widowControl/>
              <w:autoSpaceDE/>
              <w:autoSpaceDN/>
              <w:bidi/>
              <w:rPr>
                <w:color w:val="000000"/>
              </w:rPr>
            </w:pPr>
            <w:r>
              <w:rPr>
                <w:color w:val="000000"/>
                <w:rtl/>
                <w:lang w:bidi="ar"/>
              </w:rPr>
              <w:t xml:space="preserve">مدة ملكية/ إيجار المركبة بالإضافة إلى 3 سنوات </w:t>
            </w:r>
          </w:p>
        </w:tc>
      </w:tr>
      <w:tr w:rsidR="003F56A3" w:rsidRPr="003F56A3" w14:paraId="482DB5F6" w14:textId="77777777" w:rsidTr="003F56A3">
        <w:trPr>
          <w:trHeight w:val="20"/>
        </w:trPr>
        <w:tc>
          <w:tcPr>
            <w:tcW w:w="7221" w:type="dxa"/>
            <w:tcBorders>
              <w:top w:val="nil"/>
              <w:left w:val="nil"/>
              <w:bottom w:val="nil"/>
              <w:right w:val="nil"/>
            </w:tcBorders>
            <w:shd w:val="clear" w:color="auto" w:fill="auto"/>
            <w:noWrap/>
            <w:vAlign w:val="bottom"/>
            <w:hideMark/>
          </w:tcPr>
          <w:p w14:paraId="23DCB872" w14:textId="77777777" w:rsidR="003F56A3" w:rsidRPr="003F56A3" w:rsidRDefault="003F56A3" w:rsidP="003F56A3">
            <w:pPr>
              <w:widowControl/>
              <w:autoSpaceDE/>
              <w:autoSpaceDN/>
              <w:bidi/>
              <w:rPr>
                <w:color w:val="000000"/>
              </w:rPr>
            </w:pPr>
            <w:r>
              <w:rPr>
                <w:color w:val="000000"/>
                <w:rtl/>
                <w:lang w:bidi="ar"/>
              </w:rPr>
              <w:t>سجلات تدقيق وزارة النقل</w:t>
            </w:r>
          </w:p>
        </w:tc>
        <w:tc>
          <w:tcPr>
            <w:tcW w:w="2139" w:type="dxa"/>
            <w:tcBorders>
              <w:top w:val="nil"/>
              <w:left w:val="nil"/>
              <w:bottom w:val="nil"/>
              <w:right w:val="nil"/>
            </w:tcBorders>
            <w:shd w:val="clear" w:color="auto" w:fill="auto"/>
            <w:vAlign w:val="bottom"/>
            <w:hideMark/>
          </w:tcPr>
          <w:p w14:paraId="659CB737" w14:textId="77777777" w:rsidR="003F56A3" w:rsidRPr="003F56A3" w:rsidRDefault="003F56A3" w:rsidP="003F56A3">
            <w:pPr>
              <w:widowControl/>
              <w:autoSpaceDE/>
              <w:autoSpaceDN/>
              <w:bidi/>
              <w:rPr>
                <w:rFonts w:ascii="Calibri" w:hAnsi="Calibri" w:cs="Calibri"/>
                <w:color w:val="000000"/>
              </w:rPr>
            </w:pPr>
            <w:r>
              <w:rPr>
                <w:rFonts w:ascii="Calibri" w:hAnsi="Calibri" w:cs="Calibri"/>
                <w:color w:val="000000"/>
                <w:rtl/>
                <w:lang w:bidi="ar"/>
              </w:rPr>
              <w:t>5 سنوات بعد إتمام التدقيق</w:t>
            </w:r>
          </w:p>
        </w:tc>
      </w:tr>
      <w:tr w:rsidR="003F56A3" w:rsidRPr="003F56A3" w14:paraId="3FAA18CD" w14:textId="77777777" w:rsidTr="003F56A3">
        <w:trPr>
          <w:trHeight w:val="20"/>
        </w:trPr>
        <w:tc>
          <w:tcPr>
            <w:tcW w:w="7221" w:type="dxa"/>
            <w:tcBorders>
              <w:top w:val="nil"/>
              <w:left w:val="nil"/>
              <w:bottom w:val="nil"/>
              <w:right w:val="nil"/>
            </w:tcBorders>
            <w:shd w:val="clear" w:color="auto" w:fill="auto"/>
            <w:vAlign w:val="center"/>
            <w:hideMark/>
          </w:tcPr>
          <w:p w14:paraId="1CAA774F" w14:textId="77777777" w:rsidR="003F56A3" w:rsidRPr="003F56A3" w:rsidRDefault="003F56A3" w:rsidP="003F56A3">
            <w:pPr>
              <w:widowControl/>
              <w:autoSpaceDE/>
              <w:autoSpaceDN/>
              <w:ind w:left="-102"/>
              <w:rPr>
                <w:rFonts w:ascii="Calibri" w:hAnsi="Calibri" w:cs="Calibri"/>
                <w:color w:val="000000"/>
              </w:rPr>
            </w:pPr>
          </w:p>
        </w:tc>
        <w:tc>
          <w:tcPr>
            <w:tcW w:w="2139" w:type="dxa"/>
            <w:tcBorders>
              <w:top w:val="nil"/>
              <w:left w:val="nil"/>
              <w:bottom w:val="nil"/>
              <w:right w:val="nil"/>
            </w:tcBorders>
            <w:shd w:val="clear" w:color="auto" w:fill="auto"/>
            <w:noWrap/>
            <w:vAlign w:val="center"/>
            <w:hideMark/>
          </w:tcPr>
          <w:p w14:paraId="52AFDC7A" w14:textId="77777777" w:rsidR="003F56A3" w:rsidRPr="003F56A3" w:rsidRDefault="003F56A3" w:rsidP="003F56A3">
            <w:pPr>
              <w:widowControl/>
              <w:autoSpaceDE/>
              <w:autoSpaceDN/>
              <w:rPr>
                <w:sz w:val="20"/>
                <w:szCs w:val="20"/>
              </w:rPr>
            </w:pPr>
          </w:p>
        </w:tc>
      </w:tr>
      <w:tr w:rsidR="003F56A3" w:rsidRPr="003F56A3" w14:paraId="5BAF0744" w14:textId="77777777" w:rsidTr="003F56A3">
        <w:trPr>
          <w:trHeight w:val="20"/>
        </w:trPr>
        <w:tc>
          <w:tcPr>
            <w:tcW w:w="7221" w:type="dxa"/>
            <w:tcBorders>
              <w:top w:val="nil"/>
              <w:left w:val="nil"/>
              <w:bottom w:val="nil"/>
              <w:right w:val="nil"/>
            </w:tcBorders>
            <w:shd w:val="clear" w:color="auto" w:fill="auto"/>
            <w:noWrap/>
            <w:vAlign w:val="center"/>
            <w:hideMark/>
          </w:tcPr>
          <w:p w14:paraId="7B863A33" w14:textId="77777777" w:rsidR="003F56A3" w:rsidRPr="003F56A3" w:rsidRDefault="003F56A3" w:rsidP="003F56A3">
            <w:pPr>
              <w:widowControl/>
              <w:autoSpaceDE/>
              <w:autoSpaceDN/>
              <w:bidi/>
              <w:ind w:left="-102"/>
              <w:rPr>
                <w:color w:val="000000"/>
                <w:sz w:val="24"/>
                <w:szCs w:val="24"/>
                <w:u w:val="single"/>
              </w:rPr>
            </w:pPr>
            <w:r>
              <w:rPr>
                <w:color w:val="000000"/>
                <w:sz w:val="24"/>
                <w:szCs w:val="24"/>
                <w:u w:val="single"/>
                <w:rtl/>
                <w:lang w:bidi="ar"/>
              </w:rPr>
              <w:t>السجلات القانونية والتأمينية والسلامة</w:t>
            </w:r>
          </w:p>
        </w:tc>
        <w:tc>
          <w:tcPr>
            <w:tcW w:w="2139" w:type="dxa"/>
            <w:tcBorders>
              <w:top w:val="nil"/>
              <w:left w:val="nil"/>
              <w:bottom w:val="nil"/>
              <w:right w:val="nil"/>
            </w:tcBorders>
            <w:shd w:val="clear" w:color="auto" w:fill="auto"/>
            <w:noWrap/>
            <w:vAlign w:val="bottom"/>
            <w:hideMark/>
          </w:tcPr>
          <w:p w14:paraId="6773AC8A"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5F0BA062" w14:textId="77777777" w:rsidTr="003F56A3">
        <w:trPr>
          <w:trHeight w:val="20"/>
        </w:trPr>
        <w:tc>
          <w:tcPr>
            <w:tcW w:w="7221" w:type="dxa"/>
            <w:tcBorders>
              <w:top w:val="nil"/>
              <w:left w:val="nil"/>
              <w:bottom w:val="nil"/>
              <w:right w:val="nil"/>
            </w:tcBorders>
            <w:shd w:val="clear" w:color="auto" w:fill="auto"/>
            <w:noWrap/>
            <w:vAlign w:val="center"/>
            <w:hideMark/>
          </w:tcPr>
          <w:p w14:paraId="64B6B370"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تسجيلات الملكية الفكرية والعلامات التجارية وحقوق التأليف والنشر</w:t>
            </w:r>
          </w:p>
        </w:tc>
        <w:tc>
          <w:tcPr>
            <w:tcW w:w="2139" w:type="dxa"/>
            <w:tcBorders>
              <w:top w:val="nil"/>
              <w:left w:val="nil"/>
              <w:bottom w:val="nil"/>
              <w:right w:val="nil"/>
            </w:tcBorders>
            <w:shd w:val="clear" w:color="auto" w:fill="auto"/>
            <w:noWrap/>
            <w:vAlign w:val="center"/>
            <w:hideMark/>
          </w:tcPr>
          <w:p w14:paraId="500EB391"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7712C25B" w14:textId="77777777" w:rsidTr="003F56A3">
        <w:trPr>
          <w:trHeight w:val="20"/>
        </w:trPr>
        <w:tc>
          <w:tcPr>
            <w:tcW w:w="7221" w:type="dxa"/>
            <w:tcBorders>
              <w:top w:val="nil"/>
              <w:left w:val="nil"/>
              <w:bottom w:val="nil"/>
              <w:right w:val="nil"/>
            </w:tcBorders>
            <w:shd w:val="clear" w:color="auto" w:fill="auto"/>
            <w:noWrap/>
            <w:vAlign w:val="center"/>
            <w:hideMark/>
          </w:tcPr>
          <w:p w14:paraId="5C14C038"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سجلات التأمين والمطالبات والبوالص</w:t>
            </w:r>
          </w:p>
        </w:tc>
        <w:tc>
          <w:tcPr>
            <w:tcW w:w="2139" w:type="dxa"/>
            <w:tcBorders>
              <w:top w:val="nil"/>
              <w:left w:val="nil"/>
              <w:bottom w:val="nil"/>
              <w:right w:val="nil"/>
            </w:tcBorders>
            <w:shd w:val="clear" w:color="auto" w:fill="auto"/>
            <w:noWrap/>
            <w:vAlign w:val="center"/>
            <w:hideMark/>
          </w:tcPr>
          <w:p w14:paraId="231EFE69"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1E29422E" w14:textId="77777777" w:rsidTr="003F56A3">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عقود الإيجار (بعد انتهاء السريان)</w:t>
            </w:r>
          </w:p>
        </w:tc>
        <w:tc>
          <w:tcPr>
            <w:tcW w:w="2139" w:type="dxa"/>
            <w:tcBorders>
              <w:top w:val="nil"/>
              <w:left w:val="nil"/>
              <w:bottom w:val="nil"/>
              <w:right w:val="nil"/>
            </w:tcBorders>
            <w:shd w:val="clear" w:color="auto" w:fill="auto"/>
            <w:noWrap/>
            <w:vAlign w:val="center"/>
            <w:hideMark/>
          </w:tcPr>
          <w:p w14:paraId="7AFEDB20"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6 سنوات</w:t>
            </w:r>
          </w:p>
        </w:tc>
      </w:tr>
      <w:tr w:rsidR="003F56A3" w:rsidRPr="003F56A3" w14:paraId="282762D0" w14:textId="77777777" w:rsidTr="003F56A3">
        <w:trPr>
          <w:trHeight w:val="20"/>
        </w:trPr>
        <w:tc>
          <w:tcPr>
            <w:tcW w:w="7221" w:type="dxa"/>
            <w:tcBorders>
              <w:top w:val="nil"/>
              <w:left w:val="nil"/>
              <w:bottom w:val="nil"/>
              <w:right w:val="nil"/>
            </w:tcBorders>
            <w:shd w:val="clear" w:color="auto" w:fill="auto"/>
            <w:noWrap/>
            <w:vAlign w:val="center"/>
            <w:hideMark/>
          </w:tcPr>
          <w:p w14:paraId="2FDC9363"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مستندات إدارة السلامة والصحة المهنية؛ وحفظ السجلات؛ وأوراق بيانات السلامة والمراسلات</w:t>
            </w:r>
          </w:p>
        </w:tc>
        <w:tc>
          <w:tcPr>
            <w:tcW w:w="2139" w:type="dxa"/>
            <w:tcBorders>
              <w:top w:val="nil"/>
              <w:left w:val="nil"/>
              <w:bottom w:val="nil"/>
              <w:right w:val="nil"/>
            </w:tcBorders>
            <w:shd w:val="clear" w:color="auto" w:fill="auto"/>
            <w:noWrap/>
            <w:vAlign w:val="center"/>
            <w:hideMark/>
          </w:tcPr>
          <w:p w14:paraId="3C0F0B0A"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3AEEB9F2" w14:textId="77777777" w:rsidTr="003F56A3">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العقود العامة (بعد انتهاء السريان/ الإنهاء)</w:t>
            </w:r>
          </w:p>
        </w:tc>
        <w:tc>
          <w:tcPr>
            <w:tcW w:w="2139" w:type="dxa"/>
            <w:tcBorders>
              <w:top w:val="nil"/>
              <w:left w:val="nil"/>
              <w:bottom w:val="nil"/>
              <w:right w:val="nil"/>
            </w:tcBorders>
            <w:shd w:val="clear" w:color="auto" w:fill="auto"/>
            <w:noWrap/>
            <w:vAlign w:val="center"/>
            <w:hideMark/>
          </w:tcPr>
          <w:p w14:paraId="3A466DCA"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7 سنوات</w:t>
            </w:r>
          </w:p>
        </w:tc>
      </w:tr>
      <w:tr w:rsidR="003F56A3" w:rsidRPr="003F56A3" w14:paraId="4B999160" w14:textId="77777777" w:rsidTr="003F56A3">
        <w:trPr>
          <w:trHeight w:val="20"/>
        </w:trPr>
        <w:tc>
          <w:tcPr>
            <w:tcW w:w="7221" w:type="dxa"/>
            <w:tcBorders>
              <w:top w:val="nil"/>
              <w:left w:val="nil"/>
              <w:bottom w:val="nil"/>
              <w:right w:val="nil"/>
            </w:tcBorders>
            <w:shd w:val="clear" w:color="auto" w:fill="auto"/>
            <w:noWrap/>
            <w:vAlign w:val="center"/>
            <w:hideMark/>
          </w:tcPr>
          <w:p w14:paraId="73605167"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المراسلات حول المسائل القانونية أو الضريبية</w:t>
            </w:r>
          </w:p>
        </w:tc>
        <w:tc>
          <w:tcPr>
            <w:tcW w:w="2139" w:type="dxa"/>
            <w:tcBorders>
              <w:top w:val="nil"/>
              <w:left w:val="nil"/>
              <w:bottom w:val="nil"/>
              <w:right w:val="nil"/>
            </w:tcBorders>
            <w:shd w:val="clear" w:color="auto" w:fill="auto"/>
            <w:noWrap/>
            <w:vAlign w:val="center"/>
            <w:hideMark/>
          </w:tcPr>
          <w:p w14:paraId="511FCA1D"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134B995E" w14:textId="77777777" w:rsidTr="003F56A3">
        <w:trPr>
          <w:trHeight w:val="20"/>
        </w:trPr>
        <w:tc>
          <w:tcPr>
            <w:tcW w:w="7221" w:type="dxa"/>
            <w:tcBorders>
              <w:top w:val="nil"/>
              <w:left w:val="nil"/>
              <w:bottom w:val="nil"/>
              <w:right w:val="nil"/>
            </w:tcBorders>
            <w:shd w:val="clear" w:color="auto" w:fill="auto"/>
            <w:noWrap/>
            <w:vAlign w:val="center"/>
            <w:hideMark/>
          </w:tcPr>
          <w:p w14:paraId="5D6AFDB8"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سجلات النفايات الخطرة</w:t>
            </w:r>
          </w:p>
        </w:tc>
        <w:tc>
          <w:tcPr>
            <w:tcW w:w="2139" w:type="dxa"/>
            <w:tcBorders>
              <w:top w:val="nil"/>
              <w:left w:val="nil"/>
              <w:bottom w:val="nil"/>
              <w:right w:val="nil"/>
            </w:tcBorders>
            <w:shd w:val="clear" w:color="auto" w:fill="auto"/>
            <w:noWrap/>
            <w:vAlign w:val="center"/>
            <w:hideMark/>
          </w:tcPr>
          <w:p w14:paraId="6C94609F"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31027F72" w14:textId="77777777" w:rsidTr="003F56A3">
        <w:trPr>
          <w:trHeight w:val="20"/>
        </w:trPr>
        <w:tc>
          <w:tcPr>
            <w:tcW w:w="7221" w:type="dxa"/>
            <w:tcBorders>
              <w:top w:val="nil"/>
              <w:left w:val="nil"/>
              <w:bottom w:val="nil"/>
              <w:right w:val="nil"/>
            </w:tcBorders>
            <w:shd w:val="clear" w:color="auto" w:fill="auto"/>
            <w:noWrap/>
            <w:vAlign w:val="center"/>
            <w:hideMark/>
          </w:tcPr>
          <w:p w14:paraId="56476A50"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تقارير إلى أي جهة حكومية</w:t>
            </w:r>
          </w:p>
        </w:tc>
        <w:tc>
          <w:tcPr>
            <w:tcW w:w="2139" w:type="dxa"/>
            <w:tcBorders>
              <w:top w:val="nil"/>
              <w:left w:val="nil"/>
              <w:bottom w:val="nil"/>
              <w:right w:val="nil"/>
            </w:tcBorders>
            <w:shd w:val="clear" w:color="auto" w:fill="auto"/>
            <w:noWrap/>
            <w:vAlign w:val="center"/>
            <w:hideMark/>
          </w:tcPr>
          <w:p w14:paraId="0CC65DA0"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35FCD489" w14:textId="77777777" w:rsidTr="003F56A3">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5AE2CE2" w14:textId="77777777" w:rsidR="003F56A3" w:rsidRPr="003F56A3" w:rsidRDefault="003F56A3" w:rsidP="003F56A3">
            <w:pPr>
              <w:widowControl/>
              <w:autoSpaceDE/>
              <w:autoSpaceDN/>
              <w:rPr>
                <w:sz w:val="20"/>
                <w:szCs w:val="20"/>
              </w:rPr>
            </w:pPr>
          </w:p>
        </w:tc>
      </w:tr>
      <w:tr w:rsidR="003F56A3" w:rsidRPr="003F56A3" w14:paraId="638D234A" w14:textId="77777777" w:rsidTr="003F56A3">
        <w:trPr>
          <w:trHeight w:val="20"/>
        </w:trPr>
        <w:tc>
          <w:tcPr>
            <w:tcW w:w="7221" w:type="dxa"/>
            <w:tcBorders>
              <w:top w:val="nil"/>
              <w:left w:val="nil"/>
              <w:bottom w:val="nil"/>
              <w:right w:val="nil"/>
            </w:tcBorders>
            <w:shd w:val="clear" w:color="auto" w:fill="auto"/>
            <w:noWrap/>
            <w:vAlign w:val="center"/>
            <w:hideMark/>
          </w:tcPr>
          <w:p w14:paraId="3F725E1E" w14:textId="77777777" w:rsidR="003F56A3" w:rsidRPr="003F56A3" w:rsidRDefault="003F56A3" w:rsidP="003F56A3">
            <w:pPr>
              <w:widowControl/>
              <w:autoSpaceDE/>
              <w:autoSpaceDN/>
              <w:bidi/>
              <w:ind w:left="-102"/>
              <w:rPr>
                <w:color w:val="000000"/>
                <w:sz w:val="24"/>
                <w:szCs w:val="24"/>
                <w:u w:val="single"/>
              </w:rPr>
            </w:pPr>
            <w:r>
              <w:rPr>
                <w:color w:val="000000"/>
                <w:sz w:val="24"/>
                <w:szCs w:val="24"/>
                <w:u w:val="single"/>
                <w:rtl/>
                <w:lang w:bidi="ar"/>
              </w:rPr>
              <w:t>سجلات الشركة</w:t>
            </w:r>
          </w:p>
        </w:tc>
        <w:tc>
          <w:tcPr>
            <w:tcW w:w="2139" w:type="dxa"/>
            <w:tcBorders>
              <w:top w:val="nil"/>
              <w:left w:val="nil"/>
              <w:bottom w:val="nil"/>
              <w:right w:val="nil"/>
            </w:tcBorders>
            <w:shd w:val="clear" w:color="auto" w:fill="auto"/>
            <w:noWrap/>
            <w:vAlign w:val="bottom"/>
            <w:hideMark/>
          </w:tcPr>
          <w:p w14:paraId="21917047"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00F873C9" w14:textId="77777777" w:rsidTr="003F56A3">
        <w:trPr>
          <w:trHeight w:val="20"/>
        </w:trPr>
        <w:tc>
          <w:tcPr>
            <w:tcW w:w="7221" w:type="dxa"/>
            <w:tcBorders>
              <w:top w:val="nil"/>
              <w:left w:val="nil"/>
              <w:bottom w:val="nil"/>
              <w:right w:val="nil"/>
            </w:tcBorders>
            <w:shd w:val="clear" w:color="auto" w:fill="auto"/>
            <w:noWrap/>
            <w:vAlign w:val="center"/>
            <w:hideMark/>
          </w:tcPr>
          <w:p w14:paraId="388FC35F"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حوكمة الشركة؛</w:t>
            </w:r>
          </w:p>
        </w:tc>
        <w:tc>
          <w:tcPr>
            <w:tcW w:w="2139" w:type="dxa"/>
            <w:tcBorders>
              <w:top w:val="nil"/>
              <w:left w:val="nil"/>
              <w:bottom w:val="nil"/>
              <w:right w:val="nil"/>
            </w:tcBorders>
            <w:shd w:val="clear" w:color="auto" w:fill="auto"/>
            <w:noWrap/>
            <w:vAlign w:val="center"/>
            <w:hideMark/>
          </w:tcPr>
          <w:p w14:paraId="7E46E627"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6A3766FE" w14:textId="77777777" w:rsidTr="003F56A3">
        <w:trPr>
          <w:trHeight w:val="20"/>
        </w:trPr>
        <w:tc>
          <w:tcPr>
            <w:tcW w:w="7221" w:type="dxa"/>
            <w:tcBorders>
              <w:top w:val="nil"/>
              <w:left w:val="nil"/>
              <w:bottom w:val="nil"/>
              <w:right w:val="nil"/>
            </w:tcBorders>
            <w:shd w:val="clear" w:color="auto" w:fill="auto"/>
            <w:vAlign w:val="center"/>
            <w:hideMark/>
          </w:tcPr>
          <w:p w14:paraId="567EA52F"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لإدراج جميع المواد التالية، والتقارير السنوية، واللوائح الداخلية، ومحاضر اجتماعات مجلس الإدارة، وسياسات/ قرارات مجلس الإدارة، وسجلات أسهم رأس المال، والسندات؛ إلخ.</w:t>
            </w:r>
          </w:p>
        </w:tc>
        <w:tc>
          <w:tcPr>
            <w:tcW w:w="2139" w:type="dxa"/>
            <w:tcBorders>
              <w:top w:val="nil"/>
              <w:left w:val="nil"/>
              <w:bottom w:val="nil"/>
              <w:right w:val="nil"/>
            </w:tcBorders>
            <w:shd w:val="clear" w:color="auto" w:fill="auto"/>
            <w:noWrap/>
            <w:vAlign w:val="bottom"/>
            <w:hideMark/>
          </w:tcPr>
          <w:p w14:paraId="5393DAA2" w14:textId="77777777" w:rsidR="003F56A3" w:rsidRPr="003F56A3" w:rsidRDefault="003F56A3" w:rsidP="003F56A3">
            <w:pPr>
              <w:widowControl/>
              <w:autoSpaceDE/>
              <w:autoSpaceDN/>
              <w:ind w:firstLineChars="300" w:firstLine="720"/>
              <w:rPr>
                <w:color w:val="000000"/>
                <w:sz w:val="24"/>
                <w:szCs w:val="24"/>
              </w:rPr>
            </w:pPr>
          </w:p>
        </w:tc>
      </w:tr>
      <w:tr w:rsidR="003F56A3" w:rsidRPr="003F56A3" w14:paraId="13880803" w14:textId="77777777" w:rsidTr="003F56A3">
        <w:trPr>
          <w:trHeight w:val="20"/>
        </w:trPr>
        <w:tc>
          <w:tcPr>
            <w:tcW w:w="7221" w:type="dxa"/>
            <w:tcBorders>
              <w:top w:val="nil"/>
              <w:left w:val="nil"/>
              <w:bottom w:val="nil"/>
              <w:right w:val="nil"/>
            </w:tcBorders>
            <w:shd w:val="clear" w:color="auto" w:fill="auto"/>
            <w:noWrap/>
            <w:vAlign w:val="center"/>
            <w:hideMark/>
          </w:tcPr>
          <w:p w14:paraId="6A771EEC"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السندات، وحقوق الارتفاق، والسجلات العقارية</w:t>
            </w:r>
          </w:p>
        </w:tc>
        <w:tc>
          <w:tcPr>
            <w:tcW w:w="2139" w:type="dxa"/>
            <w:tcBorders>
              <w:top w:val="nil"/>
              <w:left w:val="nil"/>
              <w:bottom w:val="nil"/>
              <w:right w:val="nil"/>
            </w:tcBorders>
            <w:shd w:val="clear" w:color="auto" w:fill="auto"/>
            <w:noWrap/>
            <w:vAlign w:val="center"/>
            <w:hideMark/>
          </w:tcPr>
          <w:p w14:paraId="76EA3F37"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399CBF48" w14:textId="77777777" w:rsidTr="003F56A3">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سجلات التقاعد أو المعاشات التقاعدية</w:t>
            </w:r>
          </w:p>
        </w:tc>
        <w:tc>
          <w:tcPr>
            <w:tcW w:w="2139" w:type="dxa"/>
            <w:tcBorders>
              <w:top w:val="nil"/>
              <w:left w:val="nil"/>
              <w:bottom w:val="nil"/>
              <w:right w:val="nil"/>
            </w:tcBorders>
            <w:shd w:val="clear" w:color="auto" w:fill="auto"/>
            <w:noWrap/>
            <w:vAlign w:val="center"/>
            <w:hideMark/>
          </w:tcPr>
          <w:p w14:paraId="1CDF3263"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غير محدد</w:t>
            </w:r>
          </w:p>
        </w:tc>
      </w:tr>
      <w:tr w:rsidR="003F56A3" w:rsidRPr="003F56A3" w14:paraId="1DA984D9" w14:textId="77777777" w:rsidTr="003F56A3">
        <w:trPr>
          <w:trHeight w:val="20"/>
        </w:trPr>
        <w:tc>
          <w:tcPr>
            <w:tcW w:w="7221" w:type="dxa"/>
            <w:tcBorders>
              <w:top w:val="nil"/>
              <w:left w:val="nil"/>
              <w:bottom w:val="nil"/>
              <w:right w:val="nil"/>
            </w:tcBorders>
            <w:shd w:val="clear" w:color="auto" w:fill="auto"/>
            <w:noWrap/>
            <w:vAlign w:val="center"/>
            <w:hideMark/>
          </w:tcPr>
          <w:p w14:paraId="4D62F34A"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العقود (بعد انتهاء السريان)</w:t>
            </w:r>
          </w:p>
        </w:tc>
        <w:tc>
          <w:tcPr>
            <w:tcW w:w="2139" w:type="dxa"/>
            <w:tcBorders>
              <w:top w:val="nil"/>
              <w:left w:val="nil"/>
              <w:bottom w:val="nil"/>
              <w:right w:val="nil"/>
            </w:tcBorders>
            <w:shd w:val="clear" w:color="auto" w:fill="auto"/>
            <w:noWrap/>
            <w:vAlign w:val="center"/>
            <w:hideMark/>
          </w:tcPr>
          <w:p w14:paraId="681C3852"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3 سنوات</w:t>
            </w:r>
          </w:p>
        </w:tc>
      </w:tr>
      <w:tr w:rsidR="003F56A3" w:rsidRPr="003F56A3" w14:paraId="5A6FF6AF" w14:textId="77777777" w:rsidTr="003F56A3">
        <w:trPr>
          <w:trHeight w:val="20"/>
        </w:trPr>
        <w:tc>
          <w:tcPr>
            <w:tcW w:w="7221" w:type="dxa"/>
            <w:tcBorders>
              <w:top w:val="nil"/>
              <w:left w:val="nil"/>
              <w:bottom w:val="nil"/>
              <w:right w:val="nil"/>
            </w:tcBorders>
            <w:shd w:val="clear" w:color="auto" w:fill="auto"/>
            <w:noWrap/>
            <w:vAlign w:val="center"/>
            <w:hideMark/>
          </w:tcPr>
          <w:p w14:paraId="0B5A3142"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المراسلات (العامة)</w:t>
            </w:r>
          </w:p>
        </w:tc>
        <w:tc>
          <w:tcPr>
            <w:tcW w:w="2139" w:type="dxa"/>
            <w:tcBorders>
              <w:top w:val="nil"/>
              <w:left w:val="nil"/>
              <w:bottom w:val="nil"/>
              <w:right w:val="nil"/>
            </w:tcBorders>
            <w:shd w:val="clear" w:color="auto" w:fill="auto"/>
            <w:noWrap/>
            <w:vAlign w:val="center"/>
            <w:hideMark/>
          </w:tcPr>
          <w:p w14:paraId="1E205BD7"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3 سنوات</w:t>
            </w:r>
          </w:p>
        </w:tc>
      </w:tr>
      <w:tr w:rsidR="003F56A3" w:rsidRPr="003F56A3" w14:paraId="6F703DF7" w14:textId="77777777" w:rsidTr="003F56A3">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B9DCA8B" w14:textId="77777777" w:rsidR="003F56A3" w:rsidRPr="003F56A3" w:rsidRDefault="003F56A3" w:rsidP="003F56A3">
            <w:pPr>
              <w:widowControl/>
              <w:autoSpaceDE/>
              <w:autoSpaceDN/>
              <w:rPr>
                <w:sz w:val="20"/>
                <w:szCs w:val="20"/>
              </w:rPr>
            </w:pPr>
          </w:p>
        </w:tc>
      </w:tr>
      <w:tr w:rsidR="003F56A3" w:rsidRPr="003F56A3" w14:paraId="679068A2" w14:textId="77777777" w:rsidTr="003F56A3">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bidi/>
              <w:ind w:left="-102"/>
              <w:rPr>
                <w:color w:val="000000"/>
                <w:sz w:val="24"/>
                <w:szCs w:val="24"/>
                <w:u w:val="single"/>
              </w:rPr>
            </w:pPr>
            <w:r>
              <w:rPr>
                <w:color w:val="000000"/>
                <w:sz w:val="24"/>
                <w:szCs w:val="24"/>
                <w:u w:val="single"/>
                <w:rtl/>
                <w:lang w:bidi="ar"/>
              </w:rPr>
              <w:t>البيانات الشخصية</w:t>
            </w:r>
          </w:p>
        </w:tc>
        <w:tc>
          <w:tcPr>
            <w:tcW w:w="2139" w:type="dxa"/>
            <w:tcBorders>
              <w:top w:val="nil"/>
              <w:left w:val="nil"/>
              <w:bottom w:val="nil"/>
              <w:right w:val="nil"/>
            </w:tcBorders>
            <w:shd w:val="clear" w:color="auto" w:fill="auto"/>
            <w:noWrap/>
            <w:vAlign w:val="bottom"/>
            <w:hideMark/>
          </w:tcPr>
          <w:p w14:paraId="448CC5E3"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72B67613" w14:textId="77777777" w:rsidTr="003F56A3">
        <w:trPr>
          <w:trHeight w:val="20"/>
        </w:trPr>
        <w:tc>
          <w:tcPr>
            <w:tcW w:w="7221" w:type="dxa"/>
            <w:tcBorders>
              <w:top w:val="nil"/>
              <w:left w:val="nil"/>
              <w:bottom w:val="nil"/>
              <w:right w:val="nil"/>
            </w:tcBorders>
            <w:shd w:val="clear" w:color="auto" w:fill="auto"/>
            <w:noWrap/>
            <w:vAlign w:val="center"/>
            <w:hideMark/>
          </w:tcPr>
          <w:p w14:paraId="2A0B0085"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البيانات الشخصية – انظر التفاصيل في الجزء التاسع</w:t>
            </w:r>
          </w:p>
        </w:tc>
        <w:tc>
          <w:tcPr>
            <w:tcW w:w="2139" w:type="dxa"/>
            <w:tcBorders>
              <w:top w:val="nil"/>
              <w:left w:val="nil"/>
              <w:bottom w:val="nil"/>
              <w:right w:val="nil"/>
            </w:tcBorders>
            <w:shd w:val="clear" w:color="auto" w:fill="auto"/>
            <w:noWrap/>
            <w:vAlign w:val="bottom"/>
            <w:hideMark/>
          </w:tcPr>
          <w:p w14:paraId="031FB6DA" w14:textId="77777777" w:rsidR="003F56A3" w:rsidRPr="003F56A3" w:rsidRDefault="003F56A3" w:rsidP="003F56A3">
            <w:pPr>
              <w:widowControl/>
              <w:autoSpaceDE/>
              <w:autoSpaceDN/>
              <w:ind w:firstLineChars="300" w:firstLine="720"/>
              <w:rPr>
                <w:color w:val="000000"/>
                <w:sz w:val="24"/>
                <w:szCs w:val="24"/>
              </w:rPr>
            </w:pPr>
          </w:p>
        </w:tc>
      </w:tr>
      <w:tr w:rsidR="003F56A3" w:rsidRPr="003F56A3" w14:paraId="5821D148" w14:textId="77777777" w:rsidTr="003F56A3">
        <w:trPr>
          <w:trHeight w:val="20"/>
        </w:trPr>
        <w:tc>
          <w:tcPr>
            <w:tcW w:w="7221" w:type="dxa"/>
            <w:tcBorders>
              <w:top w:val="nil"/>
              <w:left w:val="nil"/>
              <w:bottom w:val="nil"/>
              <w:right w:val="nil"/>
            </w:tcBorders>
            <w:shd w:val="clear" w:color="auto" w:fill="auto"/>
            <w:noWrap/>
            <w:vAlign w:val="center"/>
            <w:hideMark/>
          </w:tcPr>
          <w:p w14:paraId="5CDCAF8A"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السجلات المرتبطة بقانون قابلية نقل التأمين الصحي والمساءلة</w:t>
            </w:r>
          </w:p>
        </w:tc>
        <w:tc>
          <w:tcPr>
            <w:tcW w:w="2139" w:type="dxa"/>
            <w:tcBorders>
              <w:top w:val="nil"/>
              <w:left w:val="nil"/>
              <w:bottom w:val="nil"/>
              <w:right w:val="nil"/>
            </w:tcBorders>
            <w:shd w:val="clear" w:color="auto" w:fill="auto"/>
            <w:noWrap/>
            <w:vAlign w:val="center"/>
            <w:hideMark/>
          </w:tcPr>
          <w:p w14:paraId="19471C9F" w14:textId="77777777" w:rsidR="003F56A3" w:rsidRPr="003F56A3" w:rsidRDefault="003F56A3" w:rsidP="003F56A3">
            <w:pPr>
              <w:widowControl/>
              <w:autoSpaceDE/>
              <w:autoSpaceDN/>
              <w:bidi/>
              <w:ind w:firstLineChars="300" w:firstLine="720"/>
              <w:rPr>
                <w:color w:val="000000"/>
                <w:sz w:val="24"/>
                <w:szCs w:val="24"/>
              </w:rPr>
            </w:pPr>
            <w:r>
              <w:rPr>
                <w:color w:val="000000"/>
                <w:sz w:val="24"/>
                <w:szCs w:val="24"/>
                <w:rtl/>
                <w:lang w:bidi="ar"/>
              </w:rPr>
              <w:t>6 سنوات بعد</w:t>
            </w:r>
          </w:p>
        </w:tc>
      </w:tr>
      <w:tr w:rsidR="003F56A3" w:rsidRPr="003F56A3" w14:paraId="116D2EED" w14:textId="77777777" w:rsidTr="003F56A3">
        <w:trPr>
          <w:trHeight w:val="20"/>
        </w:trPr>
        <w:tc>
          <w:tcPr>
            <w:tcW w:w="9365" w:type="dxa"/>
            <w:gridSpan w:val="2"/>
            <w:tcBorders>
              <w:top w:val="nil"/>
              <w:left w:val="nil"/>
              <w:bottom w:val="nil"/>
              <w:right w:val="nil"/>
            </w:tcBorders>
            <w:shd w:val="clear" w:color="auto" w:fill="auto"/>
            <w:noWrap/>
            <w:vAlign w:val="center"/>
            <w:hideMark/>
          </w:tcPr>
          <w:p w14:paraId="2466A8F9" w14:textId="77777777" w:rsidR="003F56A3" w:rsidRPr="003F56A3" w:rsidRDefault="003F56A3" w:rsidP="003F56A3">
            <w:pPr>
              <w:widowControl/>
              <w:autoSpaceDE/>
              <w:autoSpaceDN/>
              <w:bidi/>
              <w:ind w:left="-102"/>
              <w:rPr>
                <w:color w:val="000000"/>
                <w:sz w:val="24"/>
                <w:szCs w:val="24"/>
              </w:rPr>
            </w:pPr>
            <w:r>
              <w:rPr>
                <w:color w:val="000000"/>
                <w:sz w:val="24"/>
                <w:szCs w:val="24"/>
                <w:rtl/>
                <w:lang w:bidi="ar"/>
              </w:rPr>
              <w:t>الإنشاء، أو إذا كانت الوثيقة تحدد سياسة، بعد 6 سنوات من تاريخ آخر تنفيذ للسياسة.</w:t>
            </w:r>
          </w:p>
        </w:tc>
      </w:tr>
    </w:tbl>
    <w:p w14:paraId="0E873093" w14:textId="77777777" w:rsidR="007A4481" w:rsidRPr="003F56A3" w:rsidRDefault="007A4481">
      <w:pPr>
        <w:pStyle w:val="BodyText"/>
        <w:ind w:left="0"/>
        <w:rPr>
          <w:sz w:val="26"/>
        </w:rPr>
      </w:pPr>
    </w:p>
    <w:p w14:paraId="24675223" w14:textId="77777777" w:rsidR="007A4481" w:rsidRDefault="00000000">
      <w:pPr>
        <w:pStyle w:val="BodyText"/>
        <w:bidi/>
        <w:spacing w:line="242" w:lineRule="auto"/>
        <w:ind w:right="1369"/>
      </w:pPr>
      <w:r>
        <w:rPr>
          <w:rtl/>
          <w:lang w:bidi="ar"/>
        </w:rPr>
        <w:t>يتحمل جميع المديرين مسؤولية الحفاظ على قوانين الاحتفاظ بالسجلات التي تحكم أقسامهم المعنية. في الحالات التي يختلف فيها القانون الحالي عن هذه السياسة، يسود القانون.</w:t>
      </w:r>
    </w:p>
    <w:p w14:paraId="2AC6D25F" w14:textId="77777777" w:rsidR="007A4481" w:rsidRDefault="007A4481">
      <w:pPr>
        <w:pStyle w:val="BodyText"/>
        <w:spacing w:before="9"/>
        <w:ind w:left="0"/>
        <w:rPr>
          <w:sz w:val="23"/>
        </w:rPr>
      </w:pPr>
    </w:p>
    <w:p w14:paraId="28814F32" w14:textId="77777777" w:rsidR="007A4481" w:rsidRDefault="00000000">
      <w:pPr>
        <w:pStyle w:val="ListParagraph"/>
        <w:numPr>
          <w:ilvl w:val="0"/>
          <w:numId w:val="1"/>
        </w:numPr>
        <w:tabs>
          <w:tab w:val="left" w:pos="929"/>
        </w:tabs>
        <w:bidi/>
        <w:spacing w:line="275" w:lineRule="exact"/>
        <w:ind w:left="928" w:hanging="389"/>
        <w:rPr>
          <w:b/>
          <w:sz w:val="24"/>
        </w:rPr>
      </w:pPr>
      <w:r>
        <w:rPr>
          <w:b/>
          <w:bCs/>
          <w:sz w:val="24"/>
          <w:rtl/>
          <w:lang w:bidi="ar"/>
        </w:rPr>
        <w:t>المستندات والسجلات الإلكترونية؛ سياسات البريد الإلكتروني</w:t>
      </w:r>
    </w:p>
    <w:p w14:paraId="03C7EBFD" w14:textId="77777777" w:rsidR="007A4481" w:rsidRDefault="00000000">
      <w:pPr>
        <w:pStyle w:val="BodyText"/>
        <w:bidi/>
        <w:ind w:right="1369"/>
      </w:pPr>
      <w:r>
        <w:rPr>
          <w:u w:val="single"/>
          <w:rtl/>
          <w:lang w:bidi="ar"/>
        </w:rPr>
        <w:t>سيُحتفظ بالمستندات الإلكترونية كما لو كانت مستندات ورقية.</w:t>
      </w:r>
      <w:r>
        <w:rPr>
          <w:rtl/>
          <w:lang w:bidi="ar"/>
        </w:rPr>
        <w:t xml:space="preserve"> لذلك، سيُحتفظ بأي ملفات إلكترونية تندرج ضمن أحد أنواع المستندات في الجدول أعلاه للفترة الزمنية المناسبة. إذا كان لدى المستخدم سبب كافٍ للاحتفاظ برسالة بريد إلكتروني، فيجب حفظ الرسالة على محرك الأقراص المحلي المشترك كرسالة بريد إلكتروني أو ملف </w:t>
      </w:r>
      <w:r>
        <w:t>PDF</w:t>
      </w:r>
      <w:r>
        <w:rPr>
          <w:rtl/>
          <w:lang w:bidi="ar"/>
        </w:rPr>
        <w:t>؛ بالنسبة لملفات الشحن، يجب حفظ الرسالة مع مستندات الشحن في نظام التشغيل.</w:t>
      </w:r>
    </w:p>
    <w:p w14:paraId="27B4EC94" w14:textId="77777777" w:rsidR="007A4481" w:rsidRDefault="007A4481">
      <w:pPr>
        <w:pStyle w:val="BodyText"/>
        <w:spacing w:before="11"/>
        <w:ind w:left="0"/>
        <w:rPr>
          <w:sz w:val="23"/>
        </w:rPr>
      </w:pPr>
    </w:p>
    <w:p w14:paraId="0B460B59" w14:textId="0957EC28" w:rsidR="007A4481" w:rsidRDefault="00000000" w:rsidP="003F56A3">
      <w:pPr>
        <w:pStyle w:val="BodyText"/>
        <w:bidi/>
        <w:ind w:right="1369"/>
      </w:pPr>
      <w:r>
        <w:rPr>
          <w:rtl/>
          <w:lang w:bidi="ar"/>
        </w:rPr>
        <w:t>جميع أنظمة الاتصالات الإلكترونية وكذلك جميع الاتصالات والمعلومات المخزنة المرسلة أو المستلمة أو الواردة في أنظمة معلومات الشركة هي ملك للشركة. يقوم الموظفون الذين يستخدمون هذه المعدات لأغراض شخصية بذلك على مسؤوليتهم الخاصة. علاوة على ذلك، لا يجوز للموظفين استخدام كلمة مرور أو رمز مرور أو الوصول إلى ملف أو استرداد أي اتصال مخزن، ما لم يؤذن لهم بذلك. لا يتوقع الموظفون الخصوصية فيما يتعلق باستخدام معدات الشركة أو بنقل المعلومات أو استلامها أو تخزينها باستخدام معدات الشركة. يجوز لموظفي الشركة المفوضين الوصول إلى المراسلات والمعلومات المخزنة في أي وقت دون إشعار أو موافقة. يجب على الموظفين تجنب استخدام البريد الإلكتروني للشركة لأغراض شخصية. يجب حذف رسائل البريد الإلكتروني الشخصية في أسرع وقت ممكن.</w:t>
      </w:r>
    </w:p>
    <w:p w14:paraId="192E0729" w14:textId="77777777" w:rsidR="007A4481" w:rsidRDefault="007A4481">
      <w:pPr>
        <w:pStyle w:val="BodyText"/>
        <w:spacing w:before="1"/>
        <w:ind w:left="0"/>
      </w:pPr>
    </w:p>
    <w:p w14:paraId="15D581B8" w14:textId="77777777" w:rsidR="007A4481" w:rsidRDefault="00000000">
      <w:pPr>
        <w:pStyle w:val="ListParagraph"/>
        <w:numPr>
          <w:ilvl w:val="0"/>
          <w:numId w:val="1"/>
        </w:numPr>
        <w:tabs>
          <w:tab w:val="left" w:pos="838"/>
        </w:tabs>
        <w:bidi/>
        <w:spacing w:line="275" w:lineRule="exact"/>
        <w:ind w:left="837" w:hanging="298"/>
        <w:rPr>
          <w:b/>
          <w:sz w:val="24"/>
        </w:rPr>
      </w:pPr>
      <w:r>
        <w:rPr>
          <w:b/>
          <w:bCs/>
          <w:sz w:val="24"/>
          <w:rtl/>
          <w:lang w:bidi="ar"/>
        </w:rPr>
        <w:t>التخطيط للطوارئ</w:t>
      </w:r>
    </w:p>
    <w:p w14:paraId="3ADE30CF" w14:textId="77777777" w:rsidR="007A4481" w:rsidRDefault="00000000">
      <w:pPr>
        <w:pStyle w:val="BodyText"/>
        <w:bidi/>
        <w:ind w:right="1369"/>
      </w:pPr>
      <w:r>
        <w:rPr>
          <w:rtl/>
          <w:lang w:bidi="ar"/>
        </w:rPr>
        <w:t xml:space="preserve">ستُخزن سجلات </w:t>
      </w:r>
      <w:r>
        <w:t>SEKO</w:t>
      </w:r>
      <w:r>
        <w:rPr>
          <w:rtl/>
          <w:lang w:bidi="ar"/>
        </w:rPr>
        <w:t xml:space="preserve">بطريقة آمنة ومأمونة ويمكن الوصول إليها. ستُنسخ المستندات والملفات المالية الضرورية لاستمرار عمل شركة </w:t>
      </w:r>
      <w:r>
        <w:t>SEKO</w:t>
      </w:r>
      <w:r>
        <w:rPr>
          <w:rtl/>
          <w:lang w:bidi="ar"/>
        </w:rPr>
        <w:t xml:space="preserve"> في حالات الطوارئ أو تُنسخ احتياطيًا كل أسبوع على الأقل ويُحتفظ بها بصورة أو بأخرى في نظام التعافي من الكوارث أو نظام الأرشفة الخاص بالشركة.</w:t>
      </w:r>
    </w:p>
    <w:p w14:paraId="79033B2E" w14:textId="77777777" w:rsidR="007A4481" w:rsidRDefault="007A4481">
      <w:pPr>
        <w:pStyle w:val="BodyText"/>
        <w:spacing w:before="1"/>
        <w:ind w:left="0"/>
      </w:pPr>
    </w:p>
    <w:p w14:paraId="0C024694" w14:textId="77777777" w:rsidR="007A4481" w:rsidRDefault="00000000">
      <w:pPr>
        <w:pStyle w:val="ListParagraph"/>
        <w:numPr>
          <w:ilvl w:val="0"/>
          <w:numId w:val="1"/>
        </w:numPr>
        <w:tabs>
          <w:tab w:val="left" w:pos="929"/>
        </w:tabs>
        <w:bidi/>
        <w:spacing w:before="1" w:line="275" w:lineRule="exact"/>
        <w:ind w:left="928" w:hanging="389"/>
        <w:jc w:val="both"/>
        <w:rPr>
          <w:b/>
          <w:sz w:val="24"/>
        </w:rPr>
      </w:pPr>
      <w:r>
        <w:rPr>
          <w:b/>
          <w:bCs/>
          <w:sz w:val="24"/>
          <w:rtl/>
          <w:lang w:bidi="ar"/>
        </w:rPr>
        <w:t>التخزين خارج الموقع وإتلاف المستندات</w:t>
      </w:r>
    </w:p>
    <w:p w14:paraId="4E5A60C6" w14:textId="77777777" w:rsidR="007A4481" w:rsidRDefault="00000000">
      <w:pPr>
        <w:pStyle w:val="BodyText"/>
        <w:bidi/>
        <w:ind w:right="1602"/>
        <w:jc w:val="both"/>
      </w:pPr>
      <w:r>
        <w:rPr>
          <w:rtl/>
          <w:lang w:bidi="ar"/>
        </w:rPr>
        <w:t xml:space="preserve">يتولى المدير التنفيذي القانوني في شركة </w:t>
      </w:r>
      <w:r>
        <w:t>SEKO</w:t>
      </w:r>
      <w:r>
        <w:rPr>
          <w:rtl/>
          <w:lang w:bidi="ar"/>
        </w:rPr>
        <w:t xml:space="preserve">، وقسم تكنولوجيا المعلومات (للسجلات المخزنة إلكترونيًا)، المسؤولية عن العملية المستمرة لتحديد سجلات الشركة، التي استوفت فترة الاحتفاظ المطلوبة والإشراف على إتلافها. سيجري إتلاف </w:t>
      </w:r>
      <w:r>
        <w:rPr>
          <w:rtl/>
          <w:lang w:bidi="ar"/>
        </w:rPr>
        <w:lastRenderedPageBreak/>
        <w:t>المستندات المالية والمستندات المتعلقة بالموظفين عن طريق تمزيقها.</w:t>
      </w:r>
    </w:p>
    <w:p w14:paraId="7C3F70EE" w14:textId="77777777" w:rsidR="007A4481" w:rsidRDefault="007A4481">
      <w:pPr>
        <w:pStyle w:val="BodyText"/>
        <w:spacing w:before="1"/>
        <w:ind w:left="0"/>
      </w:pPr>
    </w:p>
    <w:p w14:paraId="28DC54F8" w14:textId="77777777" w:rsidR="007A4481" w:rsidRDefault="00000000">
      <w:pPr>
        <w:bidi/>
        <w:spacing w:before="1"/>
        <w:ind w:left="540" w:right="1369"/>
        <w:rPr>
          <w:sz w:val="24"/>
        </w:rPr>
      </w:pPr>
      <w:r>
        <w:rPr>
          <w:b/>
          <w:bCs/>
          <w:sz w:val="24"/>
          <w:rtl/>
          <w:lang w:bidi="ar"/>
        </w:rPr>
        <w:t xml:space="preserve">تسعى شركة </w:t>
      </w:r>
      <w:r>
        <w:rPr>
          <w:b/>
          <w:bCs/>
          <w:sz w:val="24"/>
        </w:rPr>
        <w:t>SEKO</w:t>
      </w:r>
      <w:r>
        <w:rPr>
          <w:b/>
          <w:bCs/>
          <w:sz w:val="24"/>
          <w:rtl/>
          <w:lang w:bidi="ar"/>
        </w:rPr>
        <w:t xml:space="preserve"> جاهدة إلى أن تكون خالية من الورق ومؤتمتة قدر الإمكان. </w:t>
      </w:r>
      <w:r>
        <w:rPr>
          <w:sz w:val="24"/>
          <w:rtl/>
          <w:lang w:bidi="ar"/>
        </w:rPr>
        <w:t>نحن ندرك أنه يجب الاحتفاظ ببعض الملفات الورقية، ومع ذلك فإننا نشجع المديرين على النظر في تكلفة التخزين خارج الموقع وكذلك أن يكونوا على دراية باتباع الممارسات الموضحة في هذه الوثيقة.</w:t>
      </w:r>
    </w:p>
    <w:p w14:paraId="27B48756" w14:textId="77777777" w:rsidR="007A4481" w:rsidRDefault="007A4481">
      <w:pPr>
        <w:pStyle w:val="BodyText"/>
        <w:ind w:left="0"/>
      </w:pPr>
    </w:p>
    <w:p w14:paraId="53B8AE88" w14:textId="77777777" w:rsidR="007A4481" w:rsidRDefault="00000000">
      <w:pPr>
        <w:pStyle w:val="BodyText"/>
        <w:bidi/>
        <w:ind w:right="1369"/>
      </w:pPr>
      <w:r>
        <w:rPr>
          <w:rtl/>
          <w:lang w:bidi="ar"/>
        </w:rPr>
        <w:t>في حالة طلب أي قسم الاحتفاظ بالسجلات خارج الموقع، يكون مدير كل قسم مسؤولاً عن التأكد من أن أي سجلات مادية يتعين الاحتفاظ بها يتم وضعها في صناديق، ولصقها، وتمييزها بالملصق الدائري المناسب، مع تسمية المحتويات الموجودة على الجزء الخارجي من الصندوق بالإضافة إلى نوع السجل (أي نهائي أو دائم) وتاريخ الإتلاف، إن وُجد، وتُضاف إلى ورقة إحالة بائع التخزين خارج الموقع. سيتم بعد ذلك إرسال السجلات المادية المعبأة في صناديق إلى منشأة التخزين خارج الموقع الخاصة بالشركة. سيتم توفير السجلات المادية للموظفين بناءً على طلب من مديرهم حسب الضرورة. يجب أن يقتصر التخزين في الموقع على الشهر الحالي و 6 أشهر من السنة التقويمية السابقة. سيكون أمام كل قسم 60 يومًا لتجميع صناديق التخزين خارج الموقع.</w:t>
      </w:r>
    </w:p>
    <w:p w14:paraId="6F0C6B66" w14:textId="77777777" w:rsidR="007A4481" w:rsidRDefault="007A4481">
      <w:pPr>
        <w:pStyle w:val="BodyText"/>
        <w:spacing w:before="1"/>
        <w:ind w:left="0"/>
      </w:pPr>
    </w:p>
    <w:p w14:paraId="4A8119A5" w14:textId="77777777" w:rsidR="007A4481" w:rsidRDefault="00000000">
      <w:pPr>
        <w:pStyle w:val="BodyText"/>
        <w:bidi/>
        <w:ind w:right="1369"/>
      </w:pPr>
      <w:r>
        <w:rPr>
          <w:rtl/>
          <w:lang w:bidi="ar"/>
        </w:rPr>
        <w:t xml:space="preserve">يجب على كل مدير قسم الاحتفاظ بقائمة محدثة بجميع السجلات المخزنة في الموقع وخارجه، إلى جانب تواريخ إنشاء السجلات وإتلافها. استناداً إلى هذه القائمة، ستتخلص </w:t>
      </w:r>
      <w:r>
        <w:t>SEKO</w:t>
      </w:r>
      <w:r>
        <w:rPr>
          <w:rtl/>
          <w:lang w:bidi="ar"/>
        </w:rPr>
        <w:t xml:space="preserve"> من السجلات عند انتهاء فترة الاحتفاظ بكل سجل، كما هو موضح في جدول الاحتفاظ بالمستندات أو غير ذلك في هذه السياسة.</w:t>
      </w:r>
    </w:p>
    <w:p w14:paraId="55C1B6DE" w14:textId="77777777" w:rsidR="007A4481" w:rsidRDefault="007A4481">
      <w:pPr>
        <w:pStyle w:val="BodyText"/>
        <w:spacing w:before="9"/>
        <w:ind w:left="0"/>
        <w:rPr>
          <w:sz w:val="23"/>
        </w:rPr>
      </w:pPr>
    </w:p>
    <w:p w14:paraId="03913A05" w14:textId="77777777" w:rsidR="007A4481" w:rsidRDefault="00000000">
      <w:pPr>
        <w:pStyle w:val="ListParagraph"/>
        <w:numPr>
          <w:ilvl w:val="0"/>
          <w:numId w:val="1"/>
        </w:numPr>
        <w:tabs>
          <w:tab w:val="left" w:pos="1020"/>
        </w:tabs>
        <w:bidi/>
        <w:ind w:left="1020" w:hanging="480"/>
        <w:jc w:val="both"/>
        <w:rPr>
          <w:b/>
          <w:sz w:val="24"/>
        </w:rPr>
      </w:pPr>
      <w:r>
        <w:rPr>
          <w:b/>
          <w:bCs/>
          <w:sz w:val="24"/>
          <w:rtl/>
          <w:lang w:bidi="ar"/>
        </w:rPr>
        <w:t>الحفظ القانوني</w:t>
      </w:r>
    </w:p>
    <w:p w14:paraId="756B7D59" w14:textId="77777777" w:rsidR="007A4481" w:rsidRDefault="00000000">
      <w:pPr>
        <w:pStyle w:val="BodyText"/>
        <w:bidi/>
        <w:spacing w:before="3"/>
        <w:ind w:right="1369"/>
      </w:pPr>
      <w:r>
        <w:rPr>
          <w:rtl/>
          <w:lang w:bidi="ar"/>
        </w:rPr>
        <w:t>إذا كانت هناك دعوى قضائية أو تحقيق أو أي إجراء آخر يتعلق بالشركة متوقعًا بشكل معقول، يتعين أن يتوقف على الفور تدمير أي مستندات محتملة ذات صلة، بما في ذلك البريد الإلكتروني. سيُحتفظ بعد ذلك بالمستندات المتعلقة بالدعوى القضائية أو القضية القانونية المحتملة وتُنظم بإشراف من المدير التنفيذي القانوني.</w:t>
      </w:r>
    </w:p>
    <w:p w14:paraId="37B4ADA1" w14:textId="77777777" w:rsidR="007A4481" w:rsidRDefault="007A4481">
      <w:pPr>
        <w:pStyle w:val="BodyText"/>
        <w:spacing w:before="9"/>
        <w:ind w:left="0"/>
        <w:rPr>
          <w:sz w:val="23"/>
        </w:rPr>
      </w:pPr>
    </w:p>
    <w:p w14:paraId="2975BB5A" w14:textId="77777777" w:rsidR="007A4481" w:rsidRDefault="00000000">
      <w:pPr>
        <w:pStyle w:val="ListParagraph"/>
        <w:numPr>
          <w:ilvl w:val="0"/>
          <w:numId w:val="1"/>
        </w:numPr>
        <w:tabs>
          <w:tab w:val="left" w:pos="1112"/>
        </w:tabs>
        <w:bidi/>
        <w:spacing w:before="1"/>
        <w:ind w:left="1111" w:hanging="572"/>
        <w:jc w:val="both"/>
        <w:rPr>
          <w:b/>
          <w:sz w:val="24"/>
        </w:rPr>
      </w:pPr>
      <w:r>
        <w:rPr>
          <w:b/>
          <w:bCs/>
          <w:sz w:val="24"/>
          <w:rtl/>
          <w:lang w:bidi="ar"/>
        </w:rPr>
        <w:t>الامتثال؛ الأسئلة</w:t>
      </w:r>
    </w:p>
    <w:p w14:paraId="24A13893" w14:textId="77777777" w:rsidR="007A4481" w:rsidRDefault="00000000">
      <w:pPr>
        <w:pStyle w:val="BodyText"/>
        <w:bidi/>
        <w:spacing w:before="5" w:line="237" w:lineRule="auto"/>
        <w:ind w:right="1654"/>
        <w:jc w:val="both"/>
      </w:pPr>
      <w:r>
        <w:rPr>
          <w:rtl/>
          <w:lang w:bidi="ar"/>
        </w:rPr>
        <w:t xml:space="preserve">يمكن أن يؤدي عدم اتباع الموظفين لهذه السياسة إلى فرض عقوبات مدنية وجنائية محتملة ضد شركة </w:t>
      </w:r>
      <w:r>
        <w:t>SEKO</w:t>
      </w:r>
      <w:r>
        <w:rPr>
          <w:rtl/>
          <w:lang w:bidi="ar"/>
        </w:rPr>
        <w:t xml:space="preserve"> وموظفيها وإجراءات تأديبية محتملة ضد المسؤولين</w:t>
      </w:r>
    </w:p>
    <w:p w14:paraId="580420D0" w14:textId="77777777" w:rsidR="007A4481" w:rsidRDefault="007A4481">
      <w:pPr>
        <w:spacing w:line="237" w:lineRule="auto"/>
        <w:jc w:val="both"/>
        <w:sectPr w:rsidR="007A4481">
          <w:headerReference w:type="default" r:id="rId10"/>
          <w:pgSz w:w="12240" w:h="15840"/>
          <w:pgMar w:top="1360" w:right="60" w:bottom="280" w:left="900" w:header="667" w:footer="0" w:gutter="0"/>
          <w:cols w:space="720"/>
        </w:sectPr>
      </w:pPr>
    </w:p>
    <w:p w14:paraId="316BBB5B" w14:textId="77777777" w:rsidR="007A4481" w:rsidRDefault="00000000">
      <w:pPr>
        <w:pStyle w:val="BodyText"/>
        <w:bidi/>
        <w:spacing w:before="77"/>
        <w:ind w:right="1369"/>
      </w:pPr>
      <w:r>
        <w:rPr>
          <w:rtl/>
          <w:lang w:bidi="ar"/>
        </w:rPr>
        <w:lastRenderedPageBreak/>
        <w:t xml:space="preserve">. سيقوم المدير التنفيذي القانوني بالتعاون مع أقسام الموارد البشرية والامتثال وتكنولوجيا المعلومات في </w:t>
      </w:r>
      <w:r>
        <w:t>SEKO</w:t>
      </w:r>
      <w:r>
        <w:rPr>
          <w:rtl/>
          <w:lang w:bidi="ar"/>
        </w:rPr>
        <w:t xml:space="preserve">بمراجعة هذه الإجراءات بشكل دوري للتأكد من امتثالها للوائح التنظيمية الجديدة أو المنقحة. يجب توجيه الأسئلة حول هذه السياسة إلى قسم الموارد البشرية أو المدير التنفيذي القانون في </w:t>
      </w:r>
      <w:r>
        <w:t>SEKO</w:t>
      </w:r>
      <w:r>
        <w:rPr>
          <w:rtl/>
          <w:lang w:bidi="ar"/>
        </w:rPr>
        <w:t>.</w:t>
      </w:r>
    </w:p>
    <w:p w14:paraId="0CFF6C33" w14:textId="77777777" w:rsidR="007A4481" w:rsidRDefault="007A4481">
      <w:pPr>
        <w:pStyle w:val="BodyText"/>
        <w:spacing w:before="3"/>
        <w:ind w:left="0"/>
      </w:pPr>
    </w:p>
    <w:p w14:paraId="3DE6A7B6" w14:textId="77777777" w:rsidR="007A4481" w:rsidRDefault="00000000">
      <w:pPr>
        <w:pStyle w:val="ListParagraph"/>
        <w:numPr>
          <w:ilvl w:val="0"/>
          <w:numId w:val="1"/>
        </w:numPr>
        <w:tabs>
          <w:tab w:val="left" w:pos="929"/>
        </w:tabs>
        <w:bidi/>
        <w:ind w:left="928" w:hanging="389"/>
        <w:rPr>
          <w:b/>
          <w:sz w:val="24"/>
        </w:rPr>
      </w:pPr>
      <w:r>
        <w:rPr>
          <w:b/>
          <w:bCs/>
          <w:sz w:val="24"/>
          <w:rtl/>
          <w:lang w:bidi="ar"/>
        </w:rPr>
        <w:t>الاحتفاظ بالبيانات الشخصية وإتلافها بموجب قوانين خصوصية البيانات</w:t>
      </w:r>
    </w:p>
    <w:p w14:paraId="54BCBA05" w14:textId="77777777" w:rsidR="007A4481" w:rsidRDefault="00000000">
      <w:pPr>
        <w:pStyle w:val="BodyText"/>
        <w:bidi/>
        <w:spacing w:before="185" w:line="259" w:lineRule="auto"/>
        <w:ind w:right="1472"/>
      </w:pPr>
      <w:r>
        <w:rPr>
          <w:rtl/>
          <w:lang w:bidi="ar"/>
        </w:rPr>
        <w:t>تتضمن البيانات الشخصية بموجب قوانين الخصوصية أي بيانات، بتنسيقات إلكترونية وغير إلكترونية، تحدد هوية الفرد أو يمكن استخدامها لتحديد هويته. يمكن أن تشمل البيانات الشخصية، على سبيل المثال لا الحصر، الأسماء، والعناوين، وأرقام الهواتف، وعناوين البريد الإلكتروني، وأرقام تعريف الموظفين، وأرقام التعريف الصادرة عن الحكومة، ورقم الضمان الاجتماعي، ورقم رخصة القيادة، وكلمات مرور المستخدم أو أرقام التعريف الشخصية، وبيانات اعتماد الوصول إلى الحساب، وأرقام الحسابات المالية، وبيانات الموقع الجغرافي، والبيانات البيومترية، أو الطبية، أو الصحية، أو بيانات التأمين الصحي، أو الأصل العرقي، أو الإثني بما في ذلك حالة المواطنة أو الهجرة.</w:t>
      </w:r>
    </w:p>
    <w:p w14:paraId="673947E7" w14:textId="77777777" w:rsidR="007A4481" w:rsidRDefault="00000000">
      <w:pPr>
        <w:pStyle w:val="BodyText"/>
        <w:bidi/>
        <w:spacing w:before="161" w:line="259" w:lineRule="auto"/>
        <w:ind w:right="1369"/>
      </w:pPr>
      <w:r>
        <w:rPr>
          <w:rtl/>
          <w:lang w:bidi="ar"/>
        </w:rPr>
        <w:t>يتم الاحتفاظ بالبيانات الشخصية بموجب قوانين خصوصية البيانات باتباع جدول الاحتفاظ العالمي الموضح أعلاه، مع ضمان ما يلي أيضًا:</w:t>
      </w:r>
    </w:p>
    <w:p w14:paraId="1B884CF3" w14:textId="77777777" w:rsidR="007A4481" w:rsidRDefault="00000000">
      <w:pPr>
        <w:pStyle w:val="BodyText"/>
        <w:bidi/>
        <w:spacing w:before="157" w:line="259" w:lineRule="auto"/>
        <w:ind w:right="1369"/>
      </w:pPr>
      <w:r>
        <w:rPr>
          <w:u w:val="single"/>
          <w:rtl/>
          <w:lang w:bidi="ar"/>
        </w:rPr>
        <w:t>يتعين جمع البيانات الشخصية لغرض محدد وصريح ومشروع،</w:t>
      </w:r>
      <w:r>
        <w:rPr>
          <w:rtl/>
          <w:lang w:bidi="ar"/>
        </w:rPr>
        <w:t xml:space="preserve"> وعدم استخدامها بعد هذا الغرض الأولي، إلا لأغراض علمية أو تاريخية أو إحصائية.</w:t>
      </w:r>
    </w:p>
    <w:p w14:paraId="56FCCC8F" w14:textId="77777777" w:rsidR="007A4481" w:rsidRDefault="00000000">
      <w:pPr>
        <w:pStyle w:val="BodyText"/>
        <w:bidi/>
        <w:spacing w:before="158" w:line="259" w:lineRule="auto"/>
        <w:ind w:right="1472"/>
      </w:pPr>
      <w:r>
        <w:rPr>
          <w:u w:val="single"/>
          <w:rtl/>
          <w:lang w:bidi="ar"/>
        </w:rPr>
        <w:t>يتعين الاحتفاظ بالبيانات الشخصية لمدة لا تزيد عن المدة اللازمة للأغراض التي جُمعت من أجلها</w:t>
      </w:r>
      <w:r>
        <w:rPr>
          <w:rtl/>
          <w:lang w:bidi="ar"/>
        </w:rPr>
        <w:t xml:space="preserve"> </w:t>
      </w:r>
      <w:r>
        <w:rPr>
          <w:u w:val="single"/>
          <w:rtl/>
          <w:lang w:bidi="ar"/>
        </w:rPr>
        <w:t xml:space="preserve"> البيانات</w:t>
      </w:r>
      <w:r>
        <w:rPr>
          <w:rtl/>
          <w:lang w:bidi="ar"/>
        </w:rPr>
        <w:t>.</w:t>
      </w:r>
    </w:p>
    <w:p w14:paraId="3B407253" w14:textId="77777777" w:rsidR="007A4481" w:rsidRDefault="00000000">
      <w:pPr>
        <w:pStyle w:val="BodyText"/>
        <w:bidi/>
        <w:spacing w:before="162" w:line="259" w:lineRule="auto"/>
        <w:ind w:right="1369"/>
      </w:pPr>
      <w:r>
        <w:rPr>
          <w:rtl/>
          <w:lang w:bidi="ar"/>
        </w:rPr>
        <w:t xml:space="preserve">يشمل إتلاف البيانات الشخصية غير الإلكترونية بموجب قوانين الخصوصية طرق الإتلاف المادي المعتمدة من </w:t>
      </w:r>
      <w:r>
        <w:t>SEKO</w:t>
      </w:r>
      <w:r>
        <w:rPr>
          <w:rtl/>
          <w:lang w:bidi="ar"/>
        </w:rPr>
        <w:t xml:space="preserve">. يمكن أن يشمل إتلاف البيانات الشخصية المخزنة بتنسيق إلكتروني طرق إخفاء الهوية المعتمدة من </w:t>
      </w:r>
      <w:r>
        <w:t>SEKO</w:t>
      </w:r>
      <w:r>
        <w:rPr>
          <w:rtl/>
          <w:lang w:bidi="ar"/>
        </w:rPr>
        <w:t>، التي تزيل معلومات التعريف الشخصية من البيانات.</w:t>
      </w:r>
    </w:p>
    <w:p w14:paraId="326EB4F7" w14:textId="77777777" w:rsidR="007A4481" w:rsidRDefault="00000000">
      <w:pPr>
        <w:pStyle w:val="BodyText"/>
        <w:bidi/>
        <w:spacing w:before="157"/>
      </w:pPr>
      <w:r>
        <w:rPr>
          <w:rtl/>
          <w:lang w:bidi="ar"/>
        </w:rPr>
        <w:t>الاحتفاظ بالسجلات بموجب قابلية نقل التأمين الصحي والمساءلة</w:t>
      </w:r>
    </w:p>
    <w:p w14:paraId="5C214743" w14:textId="77777777" w:rsidR="007A4481" w:rsidRDefault="00000000">
      <w:pPr>
        <w:pStyle w:val="BodyText"/>
        <w:bidi/>
        <w:spacing w:before="185" w:line="259" w:lineRule="auto"/>
        <w:ind w:right="1369"/>
      </w:pPr>
      <w:r>
        <w:rPr>
          <w:rtl/>
          <w:lang w:bidi="ar"/>
        </w:rPr>
        <w:t>تنطبق متطلبات الاحتفاظ على السجلات المرتبطة بقانون قابلية نقل التأمين الصحي والمساءلة (وليس السجلات الطبية لقانون قابلية نقل التأمين الصحي والمساءلة التي تستند إلى قوانين الولاية).</w:t>
      </w:r>
    </w:p>
    <w:p w14:paraId="03B7C5E3" w14:textId="77777777" w:rsidR="007A4481" w:rsidRDefault="00000000">
      <w:pPr>
        <w:pStyle w:val="BodyText"/>
        <w:bidi/>
        <w:spacing w:before="158" w:line="259" w:lineRule="auto"/>
        <w:ind w:right="1369"/>
      </w:pPr>
      <w:r>
        <w:rPr>
          <w:rtl/>
          <w:lang w:bidi="ar"/>
        </w:rPr>
        <w:t>تشمل السجلات المرتبطة بقانون قابلية نقل التأمين الصحي والمساءلة، على سبيل المثال لا الحصر، إشعارات ممارسات الخصوصية، وتقييمات المخاطر، وتحليلات المخاطر، وخطط التعافي من الكوارث والطوارئ، واتفاقيات الشركاء التجاريين، وسياسات أمن المعلومات والخصوصية، وسياسات عقوبات الموظفين، ووثائق الإخطار بالحوادث والاختراقات، ووثائق الشكاوى والحل، وسجلات حفظ الأمن المادي، وسجلات الوصول، ومراجعات نظام أمن تكنولوجيا المعلومات بما في ذلك الإجراءات الجديدة أو التقنيات الجديدة المنفذة.</w:t>
      </w:r>
    </w:p>
    <w:p w14:paraId="3C2F4233" w14:textId="77777777" w:rsidR="007A4481" w:rsidRDefault="00000000">
      <w:pPr>
        <w:pStyle w:val="BodyText"/>
        <w:bidi/>
        <w:spacing w:before="161" w:line="259" w:lineRule="auto"/>
        <w:ind w:right="1369"/>
      </w:pPr>
      <w:r>
        <w:rPr>
          <w:rtl/>
          <w:lang w:bidi="ar"/>
        </w:rPr>
        <w:t>يتعين الاحتفاظ بالسجلات المرتبطة بقانون قابلية نقل التأمين الصحي والمساءلة لمدة لا تقل عن 6 سنوات بعد الإنشاء، أو إذا كانت الوثيقة تحدد سياسة، بعد 6 سنوات من تاريخ آخر تنفيذ للسياسة.</w:t>
      </w:r>
    </w:p>
    <w:p w14:paraId="7C0B62DC" w14:textId="77777777" w:rsidR="007A4481" w:rsidRDefault="007A4481">
      <w:pPr>
        <w:spacing w:line="259" w:lineRule="auto"/>
        <w:sectPr w:rsidR="007A4481">
          <w:pgSz w:w="12240" w:h="15840"/>
          <w:pgMar w:top="1360" w:right="60" w:bottom="280" w:left="900" w:header="667" w:footer="0" w:gutter="0"/>
          <w:cols w:space="720"/>
        </w:sectPr>
      </w:pPr>
    </w:p>
    <w:p w14:paraId="5BDC84EF" w14:textId="77777777" w:rsidR="007A4481" w:rsidRDefault="007A4481">
      <w:pPr>
        <w:pStyle w:val="BodyText"/>
        <w:spacing w:before="2"/>
        <w:ind w:left="0"/>
        <w:rPr>
          <w:sz w:val="25"/>
        </w:rPr>
      </w:pPr>
    </w:p>
    <w:p w14:paraId="35E4BE22" w14:textId="77777777" w:rsidR="007A4481" w:rsidRDefault="00000000">
      <w:pPr>
        <w:pStyle w:val="BodyText"/>
        <w:bidi/>
        <w:spacing w:before="90" w:line="259" w:lineRule="auto"/>
        <w:ind w:right="1369"/>
      </w:pPr>
      <w:r>
        <w:rPr>
          <w:rtl/>
          <w:lang w:bidi="ar"/>
        </w:rPr>
        <w:t>أقر بأنني قرأت سياسة الاحتفاظ بالسجلات، وأفهم ما هو متوقع مني.</w:t>
      </w:r>
    </w:p>
    <w:p w14:paraId="235EFB1D" w14:textId="77777777" w:rsidR="007A4481" w:rsidRDefault="007A4481">
      <w:pPr>
        <w:pStyle w:val="BodyText"/>
        <w:spacing w:before="2"/>
        <w:ind w:left="0"/>
        <w:rPr>
          <w:sz w:val="14"/>
        </w:rPr>
      </w:pPr>
    </w:p>
    <w:tbl>
      <w:tblPr>
        <w:bidiVisual/>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Default="007A4481">
            <w:pPr>
              <w:pStyle w:val="TableParagraph"/>
              <w:spacing w:before="7" w:after="1"/>
            </w:pPr>
          </w:p>
          <w:p w14:paraId="26EABA16" w14:textId="77777777" w:rsidR="007A4481" w:rsidRDefault="00000000">
            <w:pPr>
              <w:pStyle w:val="TableParagraph"/>
              <w:bidi/>
              <w:spacing w:line="20" w:lineRule="exact"/>
              <w:ind w:left="50"/>
              <w:rPr>
                <w:sz w:val="2"/>
              </w:rPr>
            </w:pPr>
            <w:r>
              <w:rPr>
                <w:sz w:val="2"/>
              </w:rPr>
            </w:r>
            <w:r>
              <w:rPr>
                <w:sz w:val="2"/>
              </w:rPr>
              <w:pict w14:anchorId="42C34998">
                <v:group id="docshapegroup3" o:spid="_x0000_s2053" style="width:138pt;height:.5pt;mso-position-horizontal-relative:char;mso-position-vertical-relative:line" coordsize="2760,10">
                  <v:line id="_x0000_s2054" style="position:absolute" from="0,5" to="2760,5" strokeweight=".48pt"/>
                  <w10:wrap type="none"/>
                  <w10:anchorlock/>
                </v:group>
              </w:pict>
            </w:r>
          </w:p>
          <w:p w14:paraId="15F19478" w14:textId="77777777" w:rsidR="007A4481" w:rsidRDefault="00000000">
            <w:pPr>
              <w:pStyle w:val="TableParagraph"/>
              <w:bidi/>
              <w:spacing w:line="243" w:lineRule="exact"/>
              <w:ind w:left="50"/>
              <w:rPr>
                <w:sz w:val="24"/>
              </w:rPr>
            </w:pPr>
            <w:r>
              <w:rPr>
                <w:sz w:val="24"/>
                <w:rtl/>
                <w:lang w:bidi="ar"/>
              </w:rPr>
              <w:t>توقيع الموظف</w:t>
            </w:r>
          </w:p>
        </w:tc>
        <w:tc>
          <w:tcPr>
            <w:tcW w:w="2902" w:type="dxa"/>
          </w:tcPr>
          <w:p w14:paraId="6FD97517" w14:textId="77777777" w:rsidR="007A4481" w:rsidRDefault="007A4481">
            <w:pPr>
              <w:pStyle w:val="TableParagraph"/>
              <w:spacing w:before="7" w:after="1"/>
            </w:pPr>
          </w:p>
          <w:p w14:paraId="046DE7B9" w14:textId="77777777" w:rsidR="007A4481" w:rsidRDefault="00000000">
            <w:pPr>
              <w:pStyle w:val="TableParagraph"/>
              <w:bidi/>
              <w:spacing w:line="20" w:lineRule="exact"/>
              <w:ind w:left="571" w:right="-29"/>
              <w:rPr>
                <w:sz w:val="2"/>
              </w:rPr>
            </w:pPr>
            <w:r>
              <w:rPr>
                <w:sz w:val="2"/>
              </w:rPr>
            </w:r>
            <w:r>
              <w:rPr>
                <w:sz w:val="2"/>
              </w:rPr>
              <w:pict w14:anchorId="4F176B05">
                <v:group id="docshapegroup4" o:spid="_x0000_s2051" style="width:114pt;height:.5pt;mso-position-horizontal-relative:char;mso-position-vertical-relative:line" coordsize="2280,10">
                  <v:line id="_x0000_s2052" style="position:absolute" from="0,5" to="2280,5" strokeweight=".48pt"/>
                  <w10:wrap type="none"/>
                  <w10:anchorlock/>
                </v:group>
              </w:pict>
            </w:r>
          </w:p>
          <w:p w14:paraId="075F5B22" w14:textId="77777777" w:rsidR="007A4481" w:rsidRDefault="00000000">
            <w:pPr>
              <w:pStyle w:val="TableParagraph"/>
              <w:bidi/>
              <w:spacing w:line="243" w:lineRule="exact"/>
              <w:ind w:left="571"/>
              <w:rPr>
                <w:sz w:val="24"/>
              </w:rPr>
            </w:pPr>
            <w:r>
              <w:rPr>
                <w:sz w:val="24"/>
                <w:rtl/>
                <w:lang w:bidi="ar"/>
              </w:rPr>
              <w:t>التاريخ</w:t>
            </w:r>
          </w:p>
        </w:tc>
      </w:tr>
    </w:tbl>
    <w:p w14:paraId="2AA49F40" w14:textId="77777777" w:rsidR="007A4481" w:rsidRDefault="00000000">
      <w:pPr>
        <w:pStyle w:val="BodyText"/>
        <w:bidi/>
        <w:spacing w:before="3"/>
        <w:ind w:left="0"/>
        <w:rPr>
          <w:sz w:val="21"/>
        </w:rPr>
      </w:pPr>
      <w:r>
        <w:pict w14:anchorId="507173B6">
          <v:shape id="docshape5" o:spid="_x0000_s2050" style="position:absolute;left:0;text-align:left;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087E136D" w14:textId="77777777" w:rsidR="007A4481" w:rsidRDefault="00000000">
      <w:pPr>
        <w:pStyle w:val="BodyText"/>
        <w:bidi/>
        <w:spacing w:before="2"/>
        <w:ind w:left="665"/>
      </w:pPr>
      <w:r>
        <w:rPr>
          <w:rtl/>
          <w:lang w:bidi="ar"/>
        </w:rPr>
        <w:t>الاسم المطبوع</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C4D5" w14:textId="77777777" w:rsidR="0061209C" w:rsidRDefault="0061209C">
      <w:pPr>
        <w:bidi/>
      </w:pPr>
      <w:r>
        <w:separator/>
      </w:r>
    </w:p>
  </w:endnote>
  <w:endnote w:type="continuationSeparator" w:id="0">
    <w:p w14:paraId="281E9204" w14:textId="77777777" w:rsidR="0061209C" w:rsidRDefault="0061209C">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02C9" w14:textId="77777777" w:rsidR="0061209C" w:rsidRDefault="0061209C">
      <w:pPr>
        <w:bidi/>
      </w:pPr>
      <w:r>
        <w:separator/>
      </w:r>
    </w:p>
  </w:footnote>
  <w:footnote w:type="continuationSeparator" w:id="0">
    <w:p w14:paraId="734A96D3" w14:textId="77777777" w:rsidR="0061209C" w:rsidRDefault="0061209C">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4755" w14:textId="77777777" w:rsidR="007A4481" w:rsidRDefault="00000000">
    <w:pPr>
      <w:pStyle w:val="BodyText"/>
      <w:bidi/>
      <w:spacing w:line="14" w:lineRule="auto"/>
      <w:ind w:left="0"/>
      <w:rPr>
        <w:sz w:val="20"/>
      </w:rPr>
    </w:pPr>
    <w:r>
      <w:rPr>
        <w:noProof/>
      </w:rPr>
      <w:drawing>
        <wp:anchor distT="0" distB="0" distL="0" distR="0" simplePos="0" relativeHeight="487449088" behindDoc="1" locked="0" layoutInCell="1" allowOverlap="1" wp14:anchorId="68460034" wp14:editId="6082B6B6">
          <wp:simplePos x="0" y="0"/>
          <wp:positionH relativeFrom="page">
            <wp:posOffset>440941</wp:posOffset>
          </wp:positionH>
          <wp:positionV relativeFrom="page">
            <wp:posOffset>423776</wp:posOffset>
          </wp:positionV>
          <wp:extent cx="1355013" cy="4399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r>
      <w:pict w14:anchorId="11A84C92">
        <v:shapetype id="_x0000_t202" coordsize="21600,21600" o:spt="202" path="m,l,21600r21600,l21600,xe">
          <v:stroke joinstyle="miter"/>
          <v:path gradientshapeok="t" o:connecttype="rect"/>
        </v:shapetype>
        <v:shape id="docshape1" o:spid="_x0000_s1026" type="#_x0000_t202" style="position:absolute;left:0;text-align:left;margin-left:71pt;margin-top:85.05pt;width:454.25pt;height:15.3pt;z-index:-15866880;mso-position-horizontal-relative:page;mso-position-vertical-relative:page" filled="f" stroked="f">
          <v:textbox inset="0,0,0,0">
            <w:txbxContent>
              <w:p w14:paraId="0951A059" w14:textId="77777777" w:rsidR="007A4481" w:rsidRDefault="00000000">
                <w:pPr>
                  <w:pStyle w:val="BodyText"/>
                  <w:bidi/>
                  <w:spacing w:before="10"/>
                  <w:ind w:left="20"/>
                </w:pPr>
                <w:r>
                  <w:rPr>
                    <w:rtl/>
                    <w:lang w:bidi="ar"/>
                  </w:rPr>
                  <w:t>تغطي هذه السياسة جميع السجلات والمستندات، بغض النظر عن الشكل المادي، وتحتوي على توجيهات</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C4B1" w14:textId="77777777" w:rsidR="007A4481" w:rsidRDefault="00000000">
    <w:pPr>
      <w:pStyle w:val="BodyText"/>
      <w:bidi/>
      <w:spacing w:line="14" w:lineRule="auto"/>
      <w:ind w:left="0"/>
      <w:rPr>
        <w:sz w:val="20"/>
      </w:rPr>
    </w:pPr>
    <w:r>
      <w:rPr>
        <w:noProof/>
      </w:rPr>
      <w:drawing>
        <wp:anchor distT="0" distB="0" distL="0" distR="0" simplePos="0" relativeHeight="48745011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pict w14:anchorId="2EEDF0ED">
        <v:shapetype id="_x0000_t202" coordsize="21600,21600" o:spt="202" path="m,l,21600r21600,l21600,xe">
          <v:stroke joinstyle="miter"/>
          <v:path gradientshapeok="t" o:connecttype="rect"/>
        </v:shapetype>
        <v:shape id="docshape2" o:spid="_x0000_s1025" type="#_x0000_t202" style="position:absolute;left:0;text-align:left;margin-left:71pt;margin-top:71.35pt;width:428.35pt;height:29pt;z-index:-15865856;mso-position-horizontal-relative:page;mso-position-vertical-relative:page" filled="f" stroked="f">
          <v:textbox inset="0,0,0,0">
            <w:txbxContent>
              <w:p w14:paraId="4472E447" w14:textId="77777777" w:rsidR="007A4481" w:rsidRDefault="00000000">
                <w:pPr>
                  <w:pStyle w:val="BodyText"/>
                  <w:bidi/>
                  <w:spacing w:before="12" w:line="237" w:lineRule="auto"/>
                  <w:ind w:left="20"/>
                </w:pPr>
                <w:r>
                  <w:rPr>
                    <w:rtl/>
                    <w:lang w:bidi="ar"/>
                  </w:rPr>
                  <w:t xml:space="preserve">يجب الإشارة إلى دليل الامتثال الخاص بشركة </w:t>
                </w:r>
                <w:r>
                  <w:t>SEKO</w:t>
                </w:r>
                <w:r>
                  <w:rPr>
                    <w:rtl/>
                    <w:lang w:bidi="ar"/>
                  </w:rPr>
                  <w:t xml:space="preserve"> لأنه يحدد كذلك متطلبات الاحتفاظ بالسجلات لشركة </w:t>
                </w:r>
                <w:r>
                  <w:t>SEKO Customs Brokerage Inc</w:t>
                </w:r>
                <w:r>
                  <w:rPr>
                    <w:rtl/>
                    <w:lang w:bidi="ar"/>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AD0C" w14:textId="77777777" w:rsidR="007A4481" w:rsidRDefault="00000000">
    <w:pPr>
      <w:pStyle w:val="BodyText"/>
      <w:bidi/>
      <w:spacing w:line="14" w:lineRule="auto"/>
      <w:ind w:left="0"/>
      <w:rPr>
        <w:sz w:val="20"/>
      </w:rPr>
    </w:pPr>
    <w:r>
      <w:rPr>
        <w:noProof/>
      </w:rPr>
      <w:drawing>
        <wp:anchor distT="0" distB="0" distL="0" distR="0" simplePos="0" relativeHeight="48745113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25E"/>
    <w:multiLevelType w:val="hybridMultilevel"/>
    <w:tmpl w:val="099E6180"/>
    <w:lvl w:ilvl="0" w:tplc="0409000F">
      <w:start w:val="1"/>
      <w:numFmt w:val="decimal"/>
      <w:lvlText w:val="%1."/>
      <w:lvlJc w:val="left"/>
      <w:pPr>
        <w:ind w:left="756" w:hanging="216"/>
        <w:jc w:val="left"/>
      </w:pPr>
      <w:rPr>
        <w:rFonts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16cid:durableId="178873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4481"/>
    <w:rsid w:val="003E48C4"/>
    <w:rsid w:val="003F56A3"/>
    <w:rsid w:val="0061209C"/>
    <w:rsid w:val="007A4481"/>
    <w:rsid w:val="00C169C8"/>
    <w:rsid w:val="00C26E34"/>
    <w:rsid w:val="00D47739"/>
    <w:rsid w:val="00E41999"/>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4"/>
      <w:szCs w:val="24"/>
    </w:rPr>
  </w:style>
  <w:style w:type="paragraph" w:styleId="ListParagraph">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739"/>
    <w:pPr>
      <w:tabs>
        <w:tab w:val="center" w:pos="4680"/>
        <w:tab w:val="right" w:pos="9360"/>
      </w:tabs>
    </w:pPr>
  </w:style>
  <w:style w:type="character" w:customStyle="1" w:styleId="HeaderChar">
    <w:name w:val="Header Char"/>
    <w:basedOn w:val="DefaultParagraphFont"/>
    <w:link w:val="Header"/>
    <w:uiPriority w:val="99"/>
    <w:rsid w:val="00D47739"/>
    <w:rPr>
      <w:rFonts w:ascii="Times New Roman" w:eastAsia="Times New Roman" w:hAnsi="Times New Roman" w:cs="Times New Roman"/>
    </w:rPr>
  </w:style>
  <w:style w:type="paragraph" w:styleId="Footer">
    <w:name w:val="footer"/>
    <w:basedOn w:val="Normal"/>
    <w:link w:val="FooterChar"/>
    <w:uiPriority w:val="99"/>
    <w:unhideWhenUsed/>
    <w:rsid w:val="00D47739"/>
    <w:pPr>
      <w:tabs>
        <w:tab w:val="center" w:pos="4680"/>
        <w:tab w:val="right" w:pos="9360"/>
      </w:tabs>
    </w:pPr>
  </w:style>
  <w:style w:type="character" w:customStyle="1" w:styleId="FooterChar">
    <w:name w:val="Footer Char"/>
    <w:basedOn w:val="DefaultParagraphFont"/>
    <w:link w:val="Footer"/>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2121</Words>
  <Characters>12092</Characters>
  <Application>Microsoft Office Word</Application>
  <DocSecurity>0</DocSecurity>
  <Lines>100</Lines>
  <Paragraphs>28</Paragraphs>
  <ScaleCrop>false</ScaleCrop>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2023-09-03T11:23:00Z</dcterms:modified>
</cp:coreProperties>
</file>