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25BF" w14:textId="77777777" w:rsidR="00703BC7" w:rsidRDefault="00703BC7">
      <w:pPr>
        <w:pStyle w:val="BodyText"/>
        <w:spacing w:before="3"/>
        <w:rPr>
          <w:rFonts w:ascii="Times New Roman"/>
          <w:sz w:val="16"/>
        </w:rPr>
      </w:pPr>
    </w:p>
    <w:p w14:paraId="6815DADD" w14:textId="77777777" w:rsidR="00703BC7" w:rsidRDefault="00000000">
      <w:pPr>
        <w:pStyle w:val="Title"/>
        <w:bidi/>
      </w:pPr>
      <w:r>
        <w:rPr>
          <w:rtl/>
          <w:lang w:bidi="ar"/>
        </w:rPr>
        <w:t>بيان مدونة قواعد السلوك والأخلاقيات</w:t>
      </w:r>
    </w:p>
    <w:p w14:paraId="51D97AD4" w14:textId="77777777" w:rsidR="00703BC7" w:rsidRDefault="00703BC7" w:rsidP="001F24F8">
      <w:pPr>
        <w:pStyle w:val="BodyText"/>
        <w:spacing w:after="240"/>
        <w:rPr>
          <w:b/>
          <w:sz w:val="26"/>
        </w:rPr>
      </w:pPr>
    </w:p>
    <w:p w14:paraId="1F49E52B" w14:textId="77777777" w:rsidR="00703BC7" w:rsidRDefault="00000000">
      <w:pPr>
        <w:pStyle w:val="ListParagraph"/>
        <w:numPr>
          <w:ilvl w:val="0"/>
          <w:numId w:val="2"/>
        </w:numPr>
        <w:tabs>
          <w:tab w:val="left" w:pos="820"/>
          <w:tab w:val="left" w:pos="821"/>
        </w:tabs>
        <w:bidi/>
        <w:spacing w:before="158"/>
        <w:jc w:val="left"/>
        <w:rPr>
          <w:sz w:val="24"/>
        </w:rPr>
      </w:pPr>
      <w:r>
        <w:rPr>
          <w:sz w:val="24"/>
          <w:rtl/>
          <w:lang w:bidi="ar"/>
        </w:rPr>
        <w:t>الغرض.</w:t>
      </w:r>
    </w:p>
    <w:p w14:paraId="70E96767" w14:textId="77777777" w:rsidR="00703BC7" w:rsidRDefault="00703BC7">
      <w:pPr>
        <w:pStyle w:val="BodyText"/>
        <w:spacing w:before="1"/>
        <w:rPr>
          <w:sz w:val="21"/>
        </w:rPr>
      </w:pPr>
    </w:p>
    <w:p w14:paraId="4530D0E1" w14:textId="77777777" w:rsidR="00703BC7" w:rsidRDefault="00000000">
      <w:pPr>
        <w:pStyle w:val="BodyText"/>
        <w:bidi/>
        <w:spacing w:line="276" w:lineRule="auto"/>
        <w:ind w:left="100" w:right="115"/>
      </w:pPr>
      <w:r>
        <w:rPr>
          <w:rtl/>
          <w:lang w:bidi="ar"/>
        </w:rPr>
        <w:t xml:space="preserve">تلتزم </w:t>
      </w:r>
      <w:r>
        <w:t>SEKO Worldwide, LLC</w:t>
      </w:r>
      <w:r>
        <w:rPr>
          <w:rtl/>
          <w:lang w:bidi="ar"/>
        </w:rPr>
        <w:t xml:space="preserve"> (وجميع الكيانات التي تخضع للتحكم منها و/ أو التابعة لها) التزامًا قويًا وثابتًا بتعزيز سلوك الأعمال النزيه والأخلاقي من قبل جميع الموظفين والأطراف الأخرى المرتبطة بشركة </w:t>
      </w:r>
      <w:r>
        <w:t>SEKO</w:t>
      </w:r>
      <w:r>
        <w:rPr>
          <w:rtl/>
          <w:lang w:bidi="ar"/>
        </w:rPr>
        <w:t xml:space="preserve">. ولإنفاذ التزام شركة </w:t>
      </w:r>
      <w:r>
        <w:t>SEKO</w:t>
      </w:r>
      <w:r>
        <w:rPr>
          <w:rtl/>
          <w:lang w:bidi="ar"/>
        </w:rPr>
        <w:t xml:space="preserve"> بهذه المبادئ، يعمل بيان مدونة قواعد السلوك والأخلاقيات (المشار إليه فيما يلي باسم "مدونة قواعد السلوك ") على ما يلي: (1) التأكيد على التزام </w:t>
      </w:r>
      <w:r>
        <w:t>SEKO</w:t>
      </w:r>
      <w:r>
        <w:rPr>
          <w:rtl/>
          <w:lang w:bidi="ar"/>
        </w:rPr>
        <w:t xml:space="preserve"> بالأخلاقيات والامتثال للقانون؛ و(2) تحديد التوقعات بشأن الالتزام بالمعايير الأساسية للسلوك الأخلاقي والقانوني؛ و(3) توفير إجراءات الإبلاغ عن الانتهاكات الأخلاقية أو القانونية المعروفة أو المشتبه فيها؛ و (4) المساعدة في منع المخالفات واكتشافها.</w:t>
      </w:r>
    </w:p>
    <w:p w14:paraId="7CCA2851" w14:textId="77777777" w:rsidR="00703BC7" w:rsidRDefault="00000000">
      <w:pPr>
        <w:pStyle w:val="BodyText"/>
        <w:bidi/>
        <w:spacing w:before="203" w:line="276" w:lineRule="auto"/>
        <w:ind w:left="100" w:right="183"/>
      </w:pPr>
      <w:r>
        <w:rPr>
          <w:rtl/>
          <w:lang w:bidi="ar"/>
        </w:rPr>
        <w:t>تعد مدونة قواعد السلوك إضافة إلى السياسات والإجراءات الأخرى التي تتوافق مع القانون وتكملها. ومع ذلك، إذا كانت ممارسات الأعمال والعادات التجارية أو معيار التعامل أو أي سلطة أخرى غير ملزمة قانونًا تتعارض مع مدونة قواعد السلوك هذه، فإن مدونة قواعد السلوك هذه تحل محل تلك الممارسة المحلية أو معيار التعامل ويجب عليك الامتثال لمدونة قواعد السلوك هذه.</w:t>
      </w:r>
    </w:p>
    <w:p w14:paraId="7279B0CC" w14:textId="77777777" w:rsidR="00703BC7" w:rsidRDefault="00000000">
      <w:pPr>
        <w:pStyle w:val="BodyText"/>
        <w:bidi/>
        <w:spacing w:before="199" w:line="276" w:lineRule="auto"/>
        <w:ind w:left="100" w:right="183"/>
      </w:pPr>
      <w:r>
        <w:rPr>
          <w:rtl/>
          <w:lang w:bidi="ar"/>
        </w:rPr>
        <w:t xml:space="preserve">تتمثل ممارسة الأعمال القياسية لشركة </w:t>
      </w:r>
      <w:r>
        <w:t>SEKO</w:t>
      </w:r>
      <w:r>
        <w:rPr>
          <w:rtl/>
          <w:lang w:bidi="ar"/>
        </w:rPr>
        <w:t xml:space="preserve"> في توزيع و/أو إتاحة نسخ من مدونة قواعد السلوك لموظفيها، والمقاولين المستقلين، والموردين وجميع الأطراف الأخرى المرتبطة بشركة </w:t>
      </w:r>
      <w:r>
        <w:t>SEKO</w:t>
      </w:r>
      <w:r>
        <w:rPr>
          <w:rtl/>
          <w:lang w:bidi="ar"/>
        </w:rPr>
        <w:t xml:space="preserve">. يُطلب من الأطراف المذكورة أعلاه قراءة مدونة قواعد السلوك وفهمها. نحث الشركاء والوكلاء وجميع الكيانات المنفصلة الأخرى التي لها ارتباط بشركة </w:t>
      </w:r>
      <w:r>
        <w:t>SEKO</w:t>
      </w:r>
      <w:r>
        <w:rPr>
          <w:rtl/>
          <w:lang w:bidi="ar"/>
        </w:rPr>
        <w:t xml:space="preserve"> على وضع سياسات وإجراءات مماثلة سارية المفعول لضمان الامتثال لمبادئ نزاهة الأعمال وأخلاقياتها على النحو المنصوص عليه في مدونة قواعد السلوك هذه. من المتوقع أن تطبق جميع الأطراف مدونة قواعد السلوك هذه وأن تطبق المنطبق السليم بهدف الوصول إلى الامتثال الكامل.</w:t>
      </w:r>
    </w:p>
    <w:p w14:paraId="4180683D" w14:textId="77777777" w:rsidR="00703BC7" w:rsidRDefault="00000000">
      <w:pPr>
        <w:pStyle w:val="BodyText"/>
        <w:bidi/>
        <w:spacing w:before="198" w:line="276" w:lineRule="auto"/>
        <w:ind w:left="100" w:right="115"/>
      </w:pPr>
      <w:r>
        <w:rPr>
          <w:rtl/>
          <w:lang w:bidi="ar"/>
        </w:rPr>
        <w:t xml:space="preserve">يتحمل جميع الموظفين والأطراف التابعة المسؤولية عن أفعالهم. سيجري التحقيق في جميع ادعاءات انتهاكات مدونة قواعد السلوك هذه من قبل موظفي الشركة المعنيين. يخضع هؤلاء الذين ينتهكون معايير مدونة قواعد السلوك هذه لإجراءات تأديبية، وفي حالة الشركاء والوكلاء، سيتم تعليق أو إنهاء عقدهم أو اتفاقياتهم مع </w:t>
      </w:r>
      <w:r>
        <w:t>SEKO</w:t>
      </w:r>
      <w:r>
        <w:rPr>
          <w:rtl/>
          <w:lang w:bidi="ar"/>
        </w:rPr>
        <w:t>. في جميع الحالات، يمكن اتخاذ الإجراءات القانونية المناسبة في حالة اكتشاف أي انتهاك. إن عدم وجود مبدأ توجيهي أو ممارسة أو تعليمات محددة تغطي حالة معينة لا يعفي الشخص من ممارسة أعلى المعايير الأخلاقية المطبقة في هذه الظروف.</w:t>
      </w:r>
    </w:p>
    <w:p w14:paraId="762BB5D0" w14:textId="77777777" w:rsidR="00703BC7" w:rsidRDefault="00703BC7">
      <w:pPr>
        <w:spacing w:line="276" w:lineRule="auto"/>
        <w:sectPr w:rsidR="00703BC7">
          <w:headerReference w:type="default" r:id="rId7"/>
          <w:footerReference w:type="default" r:id="rId8"/>
          <w:type w:val="continuous"/>
          <w:pgSz w:w="12240" w:h="15840"/>
          <w:pgMar w:top="2180" w:right="1340" w:bottom="1200" w:left="1340" w:header="406" w:footer="1008" w:gutter="0"/>
          <w:pgNumType w:start="1"/>
          <w:cols w:space="720"/>
        </w:sectPr>
      </w:pPr>
    </w:p>
    <w:p w14:paraId="05EADB9C" w14:textId="77777777" w:rsidR="00703BC7" w:rsidRDefault="00703BC7">
      <w:pPr>
        <w:pStyle w:val="BodyText"/>
        <w:spacing w:before="3"/>
        <w:rPr>
          <w:sz w:val="16"/>
        </w:rPr>
      </w:pPr>
    </w:p>
    <w:p w14:paraId="1DF7AAA5" w14:textId="77777777" w:rsidR="00703BC7" w:rsidRDefault="00000000">
      <w:pPr>
        <w:pStyle w:val="BodyText"/>
        <w:bidi/>
        <w:spacing w:before="93" w:line="276" w:lineRule="auto"/>
        <w:ind w:left="100" w:right="115"/>
      </w:pPr>
      <w:r>
        <w:rPr>
          <w:rtl/>
          <w:lang w:bidi="ar"/>
        </w:rPr>
        <w:t xml:space="preserve">في جميع الحالات، يُتوقع من الأطراف المرتبطة بـ </w:t>
      </w:r>
      <w:r>
        <w:t>SEKO</w:t>
      </w:r>
      <w:r>
        <w:rPr>
          <w:rtl/>
          <w:lang w:bidi="ar"/>
        </w:rPr>
        <w:t xml:space="preserve"> اتخاذ القرارات بحكمة وطلب التوجيه داخل قسم الموارد البشرية و/أو قسم الامتثال أو الإدارة المباشرة في حالات عدم اليقين.</w:t>
      </w:r>
    </w:p>
    <w:p w14:paraId="415A2D8B" w14:textId="77777777" w:rsidR="00703BC7" w:rsidRDefault="00000000">
      <w:pPr>
        <w:pStyle w:val="BodyText"/>
        <w:bidi/>
        <w:spacing w:before="200" w:line="276" w:lineRule="auto"/>
        <w:ind w:left="100" w:right="115"/>
      </w:pPr>
      <w:r>
        <w:rPr>
          <w:rtl/>
          <w:lang w:bidi="ar"/>
        </w:rPr>
        <w:t xml:space="preserve">نشجعك على الإبلاغ عن أي انتهاك محتمل عن طريق إرسال بريد إلكتروني إلى الامتثال المؤسسي لشركة </w:t>
      </w:r>
      <w:r>
        <w:t>SEKO</w:t>
      </w:r>
      <w:r>
        <w:rPr>
          <w:rtl/>
          <w:lang w:bidi="ar"/>
        </w:rPr>
        <w:t xml:space="preserve"> على </w:t>
      </w:r>
      <w:hyperlink r:id="rId9">
        <w:r>
          <w:rPr>
            <w:color w:val="0462C1"/>
            <w:u w:val="single"/>
          </w:rPr>
          <w:t>compliance@sekologistics.com</w:t>
        </w:r>
      </w:hyperlink>
      <w:r>
        <w:rPr>
          <w:rtl/>
          <w:lang w:bidi="ar"/>
        </w:rPr>
        <w:t>.</w:t>
      </w:r>
    </w:p>
    <w:p w14:paraId="3B9210C7" w14:textId="77777777" w:rsidR="00703BC7" w:rsidRDefault="00703BC7">
      <w:pPr>
        <w:pStyle w:val="BodyText"/>
        <w:rPr>
          <w:sz w:val="20"/>
        </w:rPr>
      </w:pPr>
    </w:p>
    <w:p w14:paraId="6D9A6F9E" w14:textId="77777777" w:rsidR="00703BC7" w:rsidRDefault="00703BC7">
      <w:pPr>
        <w:pStyle w:val="BodyText"/>
        <w:rPr>
          <w:sz w:val="20"/>
        </w:rPr>
      </w:pPr>
    </w:p>
    <w:p w14:paraId="58B8EB9F" w14:textId="77777777" w:rsidR="00703BC7" w:rsidRDefault="00703BC7">
      <w:pPr>
        <w:pStyle w:val="BodyText"/>
        <w:spacing w:before="1"/>
        <w:rPr>
          <w:sz w:val="22"/>
        </w:rPr>
      </w:pPr>
    </w:p>
    <w:p w14:paraId="493409E7" w14:textId="77777777" w:rsidR="00703BC7" w:rsidRDefault="00000000">
      <w:pPr>
        <w:pStyle w:val="ListParagraph"/>
        <w:numPr>
          <w:ilvl w:val="0"/>
          <w:numId w:val="2"/>
        </w:numPr>
        <w:tabs>
          <w:tab w:val="left" w:pos="820"/>
          <w:tab w:val="left" w:pos="821"/>
        </w:tabs>
        <w:bidi/>
        <w:jc w:val="left"/>
        <w:rPr>
          <w:sz w:val="24"/>
        </w:rPr>
      </w:pPr>
      <w:r>
        <w:rPr>
          <w:sz w:val="24"/>
          <w:rtl/>
          <w:lang w:bidi="ar"/>
        </w:rPr>
        <w:t>بيان القيم الأساسية.</w:t>
      </w:r>
    </w:p>
    <w:p w14:paraId="6C6CC645" w14:textId="77777777" w:rsidR="00703BC7" w:rsidRDefault="00703BC7">
      <w:pPr>
        <w:pStyle w:val="BodyText"/>
        <w:spacing w:before="2"/>
        <w:rPr>
          <w:sz w:val="21"/>
        </w:rPr>
      </w:pPr>
    </w:p>
    <w:p w14:paraId="23FF3FBA" w14:textId="77777777" w:rsidR="00703BC7" w:rsidRDefault="00000000">
      <w:pPr>
        <w:pStyle w:val="BodyText"/>
        <w:bidi/>
        <w:spacing w:line="276" w:lineRule="auto"/>
        <w:ind w:left="100" w:right="128"/>
      </w:pPr>
      <w:r>
        <w:rPr>
          <w:rtl/>
          <w:lang w:bidi="ar"/>
        </w:rPr>
        <w:t xml:space="preserve">تلتزم </w:t>
      </w:r>
      <w:r>
        <w:t>SEKO</w:t>
      </w:r>
      <w:r>
        <w:rPr>
          <w:rtl/>
          <w:lang w:bidi="ar"/>
        </w:rPr>
        <w:t xml:space="preserve"> بتهيئة بيئة عمل إيجابية ومرضية. ولتحقيق هذه الغاية، من المتوقع أن يدعم جميع الموظفين قيم </w:t>
      </w:r>
      <w:r>
        <w:t>SEKO</w:t>
      </w:r>
      <w:r>
        <w:rPr>
          <w:rtl/>
          <w:lang w:bidi="ar"/>
        </w:rPr>
        <w:t xml:space="preserve"> الأساسية المتمثلة في الاحترام، والتركيز على العملاء، والنزاهة، والعمل الجماعي، والعمل الجاد - والمرح. يشكل العمل بنزاهة، واحترافية، وصدق القوى الدافعة وراء نجاح الشركة. تقوم </w:t>
      </w:r>
      <w:r>
        <w:t>SEKO</w:t>
      </w:r>
      <w:r>
        <w:rPr>
          <w:rtl/>
          <w:lang w:bidi="ar"/>
        </w:rPr>
        <w:t xml:space="preserve"> دائماً بإدارة الأعمال بطريقة أخلاقية وتعامل الموظفين، والعملاء، والبائعين، والمجتمعات، وجميع أصحاب المصلحة الآخرين بشكل عادل. منذ البداية، التزمت شركتنا بممارسة أعمالها بشكل أخلاقي ومن خلال "التصرف بشكل صحيح" من قبل موظفينا، وعملائنا، وبائعينا، وموردينا، ومساهمينا، ولجاننا، وجميع أصحاب المصلحة الآخرين. تتحمل شركة </w:t>
      </w:r>
      <w:r>
        <w:t>SEKO</w:t>
      </w:r>
      <w:r>
        <w:rPr>
          <w:rtl/>
          <w:lang w:bidi="ar"/>
        </w:rPr>
        <w:t xml:space="preserve"> مسؤولية حماية سمعة الشركة وتعزيزها. ببساطة، تشكل أخلاقياتنا وقيمنا القوة الدافعة وراء استراتيجيات وأنشطة أعمالنا.</w:t>
      </w:r>
    </w:p>
    <w:p w14:paraId="123C8363" w14:textId="77777777" w:rsidR="00703BC7" w:rsidRDefault="00703BC7" w:rsidP="001F24F8">
      <w:pPr>
        <w:pStyle w:val="BodyText"/>
        <w:spacing w:after="240"/>
        <w:rPr>
          <w:sz w:val="26"/>
        </w:rPr>
      </w:pPr>
    </w:p>
    <w:p w14:paraId="465DB8D5" w14:textId="77777777" w:rsidR="00703BC7" w:rsidRDefault="00000000">
      <w:pPr>
        <w:pStyle w:val="ListParagraph"/>
        <w:numPr>
          <w:ilvl w:val="0"/>
          <w:numId w:val="2"/>
        </w:numPr>
        <w:tabs>
          <w:tab w:val="left" w:pos="436"/>
        </w:tabs>
        <w:bidi/>
        <w:ind w:left="435" w:hanging="336"/>
        <w:jc w:val="left"/>
        <w:rPr>
          <w:sz w:val="24"/>
        </w:rPr>
      </w:pPr>
      <w:r>
        <w:rPr>
          <w:sz w:val="24"/>
          <w:rtl/>
          <w:lang w:bidi="ar"/>
        </w:rPr>
        <w:t>الامتثال للقوانين والقواعد واللوائح التنظيمية</w:t>
      </w:r>
    </w:p>
    <w:p w14:paraId="1488ADEE" w14:textId="77777777" w:rsidR="00703BC7" w:rsidRDefault="00703BC7">
      <w:pPr>
        <w:pStyle w:val="BodyText"/>
        <w:spacing w:before="1"/>
        <w:rPr>
          <w:sz w:val="21"/>
        </w:rPr>
      </w:pPr>
    </w:p>
    <w:p w14:paraId="5A85422D" w14:textId="77777777" w:rsidR="00703BC7" w:rsidRDefault="00000000">
      <w:pPr>
        <w:pStyle w:val="BodyText"/>
        <w:bidi/>
        <w:spacing w:line="276" w:lineRule="auto"/>
        <w:ind w:left="100" w:right="154"/>
      </w:pPr>
      <w:r>
        <w:rPr>
          <w:rtl/>
          <w:lang w:bidi="ar"/>
        </w:rPr>
        <w:t xml:space="preserve">حيث إن </w:t>
      </w:r>
      <w:r>
        <w:t>SEKO</w:t>
      </w:r>
      <w:r>
        <w:rPr>
          <w:rtl/>
          <w:lang w:bidi="ar"/>
        </w:rPr>
        <w:t xml:space="preserve"> مؤسسة عالمية يقع مقرها في الولايات المتحدة، يتعين على </w:t>
      </w:r>
      <w:r>
        <w:t>SEKO</w:t>
      </w:r>
      <w:r>
        <w:rPr>
          <w:rtl/>
          <w:lang w:bidi="ar"/>
        </w:rPr>
        <w:t xml:space="preserve">الامتثال للقوانين واللوائح التنظيمية المعمول بها في كل ولاية قضائية – سواء في الولايات المتحدة، وكذلك في جميع الدول الأخرى التي تعمل فيها </w:t>
      </w:r>
      <w:r>
        <w:t>SEKO</w:t>
      </w:r>
      <w:r>
        <w:rPr>
          <w:rtl/>
          <w:lang w:bidi="ar"/>
        </w:rPr>
        <w:t xml:space="preserve">. يتحمل جميع الموظفين وجميع الأطراف الأخرى التابعة لشركة </w:t>
      </w:r>
      <w:r>
        <w:t>SEKO</w:t>
      </w:r>
      <w:r>
        <w:rPr>
          <w:rtl/>
          <w:lang w:bidi="ar"/>
        </w:rPr>
        <w:t xml:space="preserve"> مسؤولية اكتساب المعرفة الكافية بالقوانين واللوائح التنظيمية المتعلقة بواجباتهم من أجل التعرف على مسائل الامتثال المحتملة أو انتهاكات مدونة قواعد السلوك، ومعرفة متى تطلب المشورة من شركة </w:t>
      </w:r>
      <w:r>
        <w:t>SEKO</w:t>
      </w:r>
      <w:r>
        <w:rPr>
          <w:rtl/>
          <w:lang w:bidi="ar"/>
        </w:rPr>
        <w:t xml:space="preserve"> للامتثال أو الشؤون القانونية. يتحمل جميع مديري موظفي </w:t>
      </w:r>
      <w:r>
        <w:t>SEKO</w:t>
      </w:r>
      <w:r>
        <w:rPr>
          <w:rtl/>
          <w:lang w:bidi="ar"/>
        </w:rPr>
        <w:t xml:space="preserve"> مسؤولية ضمان امتثال موظفيهم للقوانين واللوائح التنظيمية المحلية التي تنطبق على مجال مسؤوليتهم.</w:t>
      </w:r>
    </w:p>
    <w:p w14:paraId="45489376" w14:textId="77777777" w:rsidR="00703BC7" w:rsidRDefault="00703BC7">
      <w:pPr>
        <w:spacing w:line="276" w:lineRule="auto"/>
        <w:sectPr w:rsidR="00703BC7">
          <w:pgSz w:w="12240" w:h="15840"/>
          <w:pgMar w:top="2180" w:right="1340" w:bottom="1200" w:left="1340" w:header="406" w:footer="1008" w:gutter="0"/>
          <w:cols w:space="720"/>
        </w:sectPr>
      </w:pPr>
    </w:p>
    <w:p w14:paraId="0C4DEAEA" w14:textId="77777777" w:rsidR="00703BC7" w:rsidRDefault="00703BC7">
      <w:pPr>
        <w:pStyle w:val="BodyText"/>
        <w:spacing w:before="3"/>
        <w:rPr>
          <w:sz w:val="16"/>
        </w:rPr>
      </w:pPr>
    </w:p>
    <w:p w14:paraId="2439CCB4" w14:textId="77777777" w:rsidR="00703BC7" w:rsidRDefault="00000000">
      <w:pPr>
        <w:pStyle w:val="ListParagraph"/>
        <w:numPr>
          <w:ilvl w:val="0"/>
          <w:numId w:val="2"/>
        </w:numPr>
        <w:tabs>
          <w:tab w:val="left" w:pos="461"/>
        </w:tabs>
        <w:bidi/>
        <w:spacing w:before="93"/>
        <w:ind w:left="460" w:hanging="361"/>
        <w:jc w:val="left"/>
        <w:rPr>
          <w:sz w:val="24"/>
        </w:rPr>
      </w:pPr>
      <w:r>
        <w:rPr>
          <w:sz w:val="24"/>
          <w:rtl/>
          <w:lang w:bidi="ar"/>
        </w:rPr>
        <w:t>مبادئ السلوك:</w:t>
      </w:r>
    </w:p>
    <w:p w14:paraId="586EE9FC" w14:textId="77777777" w:rsidR="00703BC7" w:rsidRDefault="00703BC7">
      <w:pPr>
        <w:pStyle w:val="BodyText"/>
        <w:spacing w:before="7"/>
        <w:rPr>
          <w:sz w:val="20"/>
        </w:rPr>
      </w:pPr>
    </w:p>
    <w:p w14:paraId="32134529" w14:textId="77777777" w:rsidR="00703BC7" w:rsidRDefault="00000000">
      <w:pPr>
        <w:pStyle w:val="ListParagraph"/>
        <w:numPr>
          <w:ilvl w:val="1"/>
          <w:numId w:val="2"/>
        </w:numPr>
        <w:tabs>
          <w:tab w:val="left" w:pos="821"/>
        </w:tabs>
        <w:bidi/>
        <w:rPr>
          <w:sz w:val="24"/>
        </w:rPr>
      </w:pPr>
      <w:r>
        <w:rPr>
          <w:sz w:val="24"/>
          <w:rtl/>
          <w:lang w:bidi="ar"/>
        </w:rPr>
        <w:t>السرية والخصوصية.</w:t>
      </w:r>
    </w:p>
    <w:p w14:paraId="2850FCDA" w14:textId="77777777" w:rsidR="00703BC7" w:rsidRDefault="00703BC7">
      <w:pPr>
        <w:pStyle w:val="BodyText"/>
        <w:spacing w:before="1"/>
        <w:rPr>
          <w:sz w:val="21"/>
        </w:rPr>
      </w:pPr>
    </w:p>
    <w:p w14:paraId="4601118F" w14:textId="77777777" w:rsidR="00703BC7" w:rsidRDefault="00000000">
      <w:pPr>
        <w:pStyle w:val="BodyText"/>
        <w:bidi/>
        <w:spacing w:line="276" w:lineRule="auto"/>
        <w:ind w:left="100" w:right="154"/>
      </w:pPr>
      <w:r>
        <w:rPr>
          <w:rtl/>
          <w:lang w:bidi="ar"/>
        </w:rPr>
        <w:t xml:space="preserve">تشكل السرية ركيزة من الركائز الأساسية لمؤسستنا وهي الطريقة التي نقيس بها أخلاقياتنا. لدى </w:t>
      </w:r>
      <w:r>
        <w:t>SEKO</w:t>
      </w:r>
      <w:r>
        <w:rPr>
          <w:rtl/>
          <w:lang w:bidi="ar"/>
        </w:rPr>
        <w:t xml:space="preserve"> معلومات سرية لا يجوز الإفصاح عنها لأطراف خارجية. تشكل قوائم عملائنا، والمعرفة، والتقنيات، والمواد المكتوبة، وغيرها من المعلومات المتعلقة بخطط واستراتيجيات العمل، والمعلومات المالية، والموردين، ومعلومات الموظفين أمثلة على المعلومات السرية التي لا يجوز الكشف عنها لشخص غير مصرح له. يمتد هذا الالتزام بعدم الإفصاح عن المعلومات السرية إلى ما بعد فترة عملك مع </w:t>
      </w:r>
      <w:r>
        <w:t>SEKO</w:t>
      </w:r>
      <w:r>
        <w:rPr>
          <w:rtl/>
          <w:lang w:bidi="ar"/>
        </w:rPr>
        <w:t xml:space="preserve">. عند إنهاء العمل أو بناءً على طلب </w:t>
      </w:r>
      <w:r>
        <w:t>SEKO</w:t>
      </w:r>
      <w:r>
        <w:rPr>
          <w:rtl/>
          <w:lang w:bidi="ar"/>
        </w:rPr>
        <w:t xml:space="preserve">، يجب على الموظفين أن يعيدوا إلى </w:t>
      </w:r>
      <w:r>
        <w:t>SEKO</w:t>
      </w:r>
      <w:r>
        <w:rPr>
          <w:rtl/>
          <w:lang w:bidi="ar"/>
        </w:rPr>
        <w:t xml:space="preserve"> جميع المعلومات السرية أو غيرها من ممتلكات </w:t>
      </w:r>
      <w:r>
        <w:t>SEKO</w:t>
      </w:r>
      <w:r>
        <w:rPr>
          <w:rtl/>
          <w:lang w:bidi="ar"/>
        </w:rPr>
        <w:t xml:space="preserve"> أو عملائها (وأي نسخ منها) تكون بحوزة الموظف. في حالة ترك العمل لدى </w:t>
      </w:r>
      <w:r>
        <w:t>SEKO</w:t>
      </w:r>
      <w:r>
        <w:rPr>
          <w:rtl/>
          <w:lang w:bidi="ar"/>
        </w:rPr>
        <w:t xml:space="preserve"> لأي سبب من الأسباب، يستمر التزامك بعدم الكشف عن هذه المعلومات السرية.</w:t>
      </w:r>
    </w:p>
    <w:p w14:paraId="320B770A" w14:textId="77777777" w:rsidR="00703BC7" w:rsidRDefault="00000000">
      <w:pPr>
        <w:pStyle w:val="ListParagraph"/>
        <w:numPr>
          <w:ilvl w:val="1"/>
          <w:numId w:val="2"/>
        </w:numPr>
        <w:tabs>
          <w:tab w:val="left" w:pos="821"/>
        </w:tabs>
        <w:bidi/>
        <w:spacing w:before="202"/>
        <w:rPr>
          <w:sz w:val="24"/>
        </w:rPr>
      </w:pPr>
      <w:r>
        <w:rPr>
          <w:sz w:val="24"/>
          <w:rtl/>
          <w:lang w:bidi="ar"/>
        </w:rPr>
        <w:t>تضارب المصالح.</w:t>
      </w:r>
    </w:p>
    <w:p w14:paraId="7CE2772C" w14:textId="77777777" w:rsidR="00703BC7" w:rsidRDefault="00703BC7">
      <w:pPr>
        <w:pStyle w:val="BodyText"/>
        <w:spacing w:before="1"/>
        <w:rPr>
          <w:sz w:val="21"/>
        </w:rPr>
      </w:pPr>
    </w:p>
    <w:p w14:paraId="1702CA33" w14:textId="77777777" w:rsidR="00703BC7" w:rsidRDefault="00000000">
      <w:pPr>
        <w:pStyle w:val="BodyText"/>
        <w:bidi/>
        <w:spacing w:line="276" w:lineRule="auto"/>
        <w:ind w:left="100" w:right="234"/>
      </w:pPr>
      <w:r>
        <w:rPr>
          <w:rtl/>
          <w:lang w:bidi="ar"/>
        </w:rPr>
        <w:t xml:space="preserve">يحدث تضارب المصالح عندما تتعارض المصلحة الخاصة لأي شخص بأي شكل من الأشكال مع مصلحة الشركة. يُحظر على الموظفين وجميع الأطراف الأخرى الذين يعملون نيابة عن </w:t>
      </w:r>
      <w:r>
        <w:t>SEKO</w:t>
      </w:r>
      <w:r>
        <w:rPr>
          <w:rtl/>
          <w:lang w:bidi="ar"/>
        </w:rPr>
        <w:t xml:space="preserve"> اتخاذ قرارات في سياق العمل أو في تمثيلهم لشركة </w:t>
      </w:r>
      <w:r>
        <w:t>SEKO</w:t>
      </w:r>
      <w:r>
        <w:rPr>
          <w:rtl/>
          <w:lang w:bidi="ar"/>
        </w:rPr>
        <w:t xml:space="preserve"> من شأنها أن تسمح لهم بإعطاء الأفضلية أو المحاباة لعميل، أو بائع، أو مورد، أو شركة نقل، أو شريك أعمال آخر مقابل أي شيء يعود بالنفع الشخصي عليهم، أو على أصدقائهم وعائلاتهم. إن اتخاذ هذه الأنواع من القرارات يمكن أن يتعارض مع قدرة الموظف على إصدار الأحكام بما يخدم مصلحة شركة </w:t>
      </w:r>
      <w:r>
        <w:t>SEKO</w:t>
      </w:r>
      <w:r>
        <w:rPr>
          <w:rtl/>
          <w:lang w:bidi="ar"/>
        </w:rPr>
        <w:t xml:space="preserve"> فقط.</w:t>
      </w:r>
    </w:p>
    <w:p w14:paraId="4CC80A8D" w14:textId="259149E5" w:rsidR="00703BC7" w:rsidRDefault="00000000" w:rsidP="001F24F8">
      <w:pPr>
        <w:pStyle w:val="BodyText"/>
        <w:bidi/>
        <w:spacing w:before="203" w:line="276" w:lineRule="auto"/>
        <w:ind w:left="100" w:right="115"/>
      </w:pPr>
      <w:r>
        <w:rPr>
          <w:rtl/>
          <w:lang w:bidi="ar"/>
        </w:rPr>
        <w:t xml:space="preserve">علاوة على ذلك، يُحظر على الموظفين والمسؤولين والمديرين استغلال فرص الشركة واختلاس هذه الفرص لأنفسهم أو لصالح لطرف خارجي آخر دون موافقة </w:t>
      </w:r>
      <w:r>
        <w:t>SEKO</w:t>
      </w:r>
      <w:r>
        <w:rPr>
          <w:rtl/>
          <w:lang w:bidi="ar"/>
        </w:rPr>
        <w:t xml:space="preserve">. وعلاوة على ذلك، لا يجوز لأي موظف أو طرف تابع لشركة </w:t>
      </w:r>
      <w:r>
        <w:t>SEKO</w:t>
      </w:r>
      <w:r>
        <w:rPr>
          <w:rtl/>
          <w:lang w:bidi="ar"/>
        </w:rPr>
        <w:t xml:space="preserve"> استخدام ممتلكات الشركة أو معلوماتها لتحقيق مكاسب شخصية ولا يجوز لأي موظف التنافس مع </w:t>
      </w:r>
      <w:r>
        <w:t>SEKO</w:t>
      </w:r>
      <w:r>
        <w:rPr>
          <w:rtl/>
          <w:lang w:bidi="ar"/>
        </w:rPr>
        <w:t xml:space="preserve">بشكل مباشر أو غير مباشر أثناء عمله مع الشركة. يدين الموظفون وجميع الشركات التابعة بواجب تجاه </w:t>
      </w:r>
      <w:r>
        <w:t>SEKO</w:t>
      </w:r>
      <w:r>
        <w:rPr>
          <w:rtl/>
          <w:lang w:bidi="ar"/>
        </w:rPr>
        <w:t xml:space="preserve"> لتعزيز مصلحة </w:t>
      </w:r>
      <w:r>
        <w:t>SEKO</w:t>
      </w:r>
      <w:r>
        <w:rPr>
          <w:rtl/>
          <w:lang w:bidi="ar"/>
        </w:rPr>
        <w:t xml:space="preserve"> عندما تتاح الفرصة للقيام بذلك.</w:t>
      </w:r>
    </w:p>
    <w:p w14:paraId="3149AD19" w14:textId="77777777" w:rsidR="00703BC7" w:rsidRDefault="00703BC7">
      <w:pPr>
        <w:spacing w:line="276" w:lineRule="auto"/>
        <w:sectPr w:rsidR="00703BC7">
          <w:pgSz w:w="12240" w:h="15840"/>
          <w:pgMar w:top="2180" w:right="1340" w:bottom="1200" w:left="1340" w:header="406" w:footer="1008" w:gutter="0"/>
          <w:cols w:space="720"/>
        </w:sectPr>
      </w:pPr>
    </w:p>
    <w:p w14:paraId="728264CE" w14:textId="77777777" w:rsidR="00703BC7" w:rsidRDefault="00703BC7">
      <w:pPr>
        <w:pStyle w:val="BodyText"/>
        <w:spacing w:before="3"/>
        <w:rPr>
          <w:sz w:val="16"/>
        </w:rPr>
      </w:pPr>
    </w:p>
    <w:p w14:paraId="0F62330B" w14:textId="77777777" w:rsidR="00703BC7" w:rsidRDefault="00000000">
      <w:pPr>
        <w:pStyle w:val="ListParagraph"/>
        <w:numPr>
          <w:ilvl w:val="1"/>
          <w:numId w:val="2"/>
        </w:numPr>
        <w:tabs>
          <w:tab w:val="left" w:pos="821"/>
        </w:tabs>
        <w:bidi/>
        <w:spacing w:before="93"/>
        <w:rPr>
          <w:sz w:val="24"/>
        </w:rPr>
      </w:pPr>
      <w:r>
        <w:rPr>
          <w:sz w:val="24"/>
          <w:rtl/>
          <w:lang w:bidi="ar"/>
        </w:rPr>
        <w:t>الرشاوى والهدايا والترفيه وما إلى ذلك.</w:t>
      </w:r>
    </w:p>
    <w:p w14:paraId="454CD861" w14:textId="77777777" w:rsidR="00703BC7" w:rsidRDefault="00703BC7">
      <w:pPr>
        <w:pStyle w:val="BodyText"/>
        <w:spacing w:before="7"/>
        <w:rPr>
          <w:sz w:val="20"/>
        </w:rPr>
      </w:pPr>
    </w:p>
    <w:p w14:paraId="3015E199" w14:textId="77777777" w:rsidR="00703BC7" w:rsidRDefault="00000000">
      <w:pPr>
        <w:pStyle w:val="BodyText"/>
        <w:bidi/>
        <w:spacing w:line="278" w:lineRule="auto"/>
        <w:ind w:left="460" w:right="115"/>
      </w:pPr>
      <w:r>
        <w:rPr>
          <w:rtl/>
          <w:lang w:bidi="ar"/>
        </w:rPr>
        <w:t xml:space="preserve">يُحظر صراحةً على الموظفين وجميع الأطراف الأخرى التابعة لشركة </w:t>
      </w:r>
      <w:r>
        <w:t>SEKO</w:t>
      </w:r>
      <w:r>
        <w:rPr>
          <w:rtl/>
          <w:lang w:bidi="ar"/>
        </w:rPr>
        <w:t xml:space="preserve"> تقديم أو التماس، بشكل مباشر أو غير مباشر، أي معاملة أو خدمة خاصة مقابل أي شيء ذي قيمة اقتصادية، أو وعد، أو توقع قيمة أو مكاسب مستقبلية.</w:t>
      </w:r>
    </w:p>
    <w:p w14:paraId="527C74AF" w14:textId="77777777" w:rsidR="00703BC7" w:rsidRDefault="00000000">
      <w:pPr>
        <w:pStyle w:val="BodyText"/>
        <w:bidi/>
        <w:spacing w:line="276" w:lineRule="auto"/>
        <w:ind w:left="460" w:right="115"/>
      </w:pPr>
      <w:r>
        <w:rPr>
          <w:rtl/>
          <w:lang w:bidi="ar"/>
        </w:rPr>
        <w:t xml:space="preserve">كما يمنع هذا الحظر الموظفين وجميع الأطراف الأخرى من تقديم مزايا اقتصادية وغير اقتصادية للموظفين أو عملاء الموردين وجميع الأطراف الأخرى التي تلتمس منها </w:t>
      </w:r>
      <w:r>
        <w:t>SEKO</w:t>
      </w:r>
      <w:r>
        <w:rPr>
          <w:rtl/>
          <w:lang w:bidi="ar"/>
        </w:rPr>
        <w:t xml:space="preserve"> العمل. راجع سياسة الامتثال لقانون الممارسات الأجنبية الفاسدة في </w:t>
      </w:r>
      <w:r>
        <w:t>SEKO</w:t>
      </w:r>
      <w:r>
        <w:rPr>
          <w:rtl/>
          <w:lang w:bidi="ar"/>
        </w:rPr>
        <w:t xml:space="preserve">، المتاحة </w:t>
      </w:r>
      <w:hyperlink r:id="rId10">
        <w:r>
          <w:rPr>
            <w:color w:val="0462C1"/>
            <w:u w:val="single"/>
            <w:rtl/>
            <w:lang w:bidi="ar"/>
          </w:rPr>
          <w:t>على</w:t>
        </w:r>
      </w:hyperlink>
      <w:r>
        <w:rPr>
          <w:rtl/>
          <w:lang w:bidi="ar"/>
        </w:rPr>
        <w:t xml:space="preserve"> </w:t>
      </w:r>
      <w:r>
        <w:t>www.sekologistics.com</w:t>
      </w:r>
      <w:r>
        <w:rPr>
          <w:rtl/>
          <w:lang w:bidi="ar"/>
        </w:rPr>
        <w:t>، للحصول على معلومات إضافية حول هذه المحظورات.</w:t>
      </w:r>
    </w:p>
    <w:p w14:paraId="0B955011" w14:textId="77777777" w:rsidR="00703BC7" w:rsidRDefault="00000000">
      <w:pPr>
        <w:pStyle w:val="ListParagraph"/>
        <w:numPr>
          <w:ilvl w:val="1"/>
          <w:numId w:val="2"/>
        </w:numPr>
        <w:tabs>
          <w:tab w:val="left" w:pos="370"/>
        </w:tabs>
        <w:bidi/>
        <w:spacing w:before="195"/>
        <w:ind w:left="369" w:hanging="270"/>
        <w:rPr>
          <w:sz w:val="24"/>
        </w:rPr>
      </w:pPr>
      <w:r>
        <w:rPr>
          <w:sz w:val="24"/>
          <w:rtl/>
          <w:lang w:bidi="ar"/>
        </w:rPr>
        <w:t>سياسة مكافحة المقاطعة.</w:t>
      </w:r>
    </w:p>
    <w:p w14:paraId="7A2D64A1" w14:textId="77777777" w:rsidR="00703BC7" w:rsidRDefault="00703BC7">
      <w:pPr>
        <w:pStyle w:val="BodyText"/>
        <w:spacing w:before="1"/>
        <w:rPr>
          <w:sz w:val="21"/>
        </w:rPr>
      </w:pPr>
    </w:p>
    <w:p w14:paraId="3A7A6721" w14:textId="77777777" w:rsidR="00703BC7" w:rsidRDefault="00000000">
      <w:pPr>
        <w:pStyle w:val="BodyText"/>
        <w:bidi/>
        <w:spacing w:line="276" w:lineRule="auto"/>
        <w:ind w:left="100" w:right="115"/>
      </w:pPr>
      <w:r>
        <w:rPr>
          <w:rtl/>
          <w:lang w:bidi="ar"/>
        </w:rPr>
        <w:t>في الولايات المتحدة، أصدر الكونغرس القوانين واللوائح التنظيمية التي تجعل من غير القانوني لأي مواطن أمريكي أو شركة مقرها الولايات المتحدة (سواء كانت مدمجة أو غير مدمجة) المشاركة في أي مقاطعة أجنبية لا تقرها حكومة الولايات المتحدة. بالإضافة إلى حظر جميع المقاطعات الأجنبية غير المصرح بها، من غير القانوني أيضًا المشاركة في ما يلي:</w:t>
      </w:r>
    </w:p>
    <w:p w14:paraId="04D33389" w14:textId="77777777" w:rsidR="00703BC7" w:rsidRDefault="00000000">
      <w:pPr>
        <w:pStyle w:val="ListParagraph"/>
        <w:numPr>
          <w:ilvl w:val="0"/>
          <w:numId w:val="1"/>
        </w:numPr>
        <w:tabs>
          <w:tab w:val="left" w:pos="820"/>
          <w:tab w:val="left" w:pos="821"/>
        </w:tabs>
        <w:bidi/>
        <w:spacing w:before="197" w:line="276" w:lineRule="auto"/>
        <w:ind w:right="933"/>
        <w:rPr>
          <w:sz w:val="24"/>
        </w:rPr>
      </w:pPr>
      <w:r>
        <w:rPr>
          <w:sz w:val="24"/>
          <w:rtl/>
          <w:lang w:bidi="ar"/>
        </w:rPr>
        <w:t>الموافقة على الرفض أو الرفض الفعلي للتعامل مع أو في إسرائيل أو مع الشركات المدرجة في القائمة السوداء.</w:t>
      </w:r>
    </w:p>
    <w:p w14:paraId="356CBA61" w14:textId="77777777" w:rsidR="00703BC7" w:rsidRDefault="00000000">
      <w:pPr>
        <w:pStyle w:val="ListParagraph"/>
        <w:numPr>
          <w:ilvl w:val="0"/>
          <w:numId w:val="1"/>
        </w:numPr>
        <w:tabs>
          <w:tab w:val="left" w:pos="820"/>
          <w:tab w:val="left" w:pos="821"/>
        </w:tabs>
        <w:bidi/>
        <w:spacing w:before="195" w:line="276" w:lineRule="auto"/>
        <w:ind w:right="260"/>
        <w:rPr>
          <w:sz w:val="24"/>
        </w:rPr>
      </w:pPr>
      <w:r>
        <w:rPr>
          <w:sz w:val="24"/>
          <w:rtl/>
          <w:lang w:bidi="ar"/>
        </w:rPr>
        <w:t>الموافقة على أو التمييز الفعلي ضد أشخاص آخرين على أساس العرق، أو الدين، أو الجنس، أو الأصل القومي، أو الجنسية.</w:t>
      </w:r>
    </w:p>
    <w:p w14:paraId="2736EA24" w14:textId="77777777" w:rsidR="00703BC7" w:rsidRDefault="00000000">
      <w:pPr>
        <w:pStyle w:val="ListParagraph"/>
        <w:numPr>
          <w:ilvl w:val="0"/>
          <w:numId w:val="1"/>
        </w:numPr>
        <w:tabs>
          <w:tab w:val="left" w:pos="820"/>
          <w:tab w:val="left" w:pos="821"/>
        </w:tabs>
        <w:bidi/>
        <w:spacing w:before="199" w:line="271" w:lineRule="auto"/>
        <w:ind w:right="546"/>
        <w:rPr>
          <w:sz w:val="24"/>
        </w:rPr>
      </w:pPr>
      <w:r>
        <w:rPr>
          <w:sz w:val="24"/>
          <w:rtl/>
          <w:lang w:bidi="ar"/>
        </w:rPr>
        <w:t>الموافقة على تقديم أو التقديم الفعلي لمعلومات فعلية حول علاقات الأعمال مع أو في إسرائيل أو الشركات المدرجة في القائمة السوداء.</w:t>
      </w:r>
    </w:p>
    <w:p w14:paraId="00C124D3" w14:textId="77777777" w:rsidR="00703BC7" w:rsidRDefault="00000000">
      <w:pPr>
        <w:pStyle w:val="ListParagraph"/>
        <w:numPr>
          <w:ilvl w:val="0"/>
          <w:numId w:val="1"/>
        </w:numPr>
        <w:tabs>
          <w:tab w:val="left" w:pos="820"/>
          <w:tab w:val="left" w:pos="821"/>
        </w:tabs>
        <w:bidi/>
        <w:spacing w:before="206" w:line="271" w:lineRule="auto"/>
        <w:ind w:right="203"/>
        <w:rPr>
          <w:sz w:val="24"/>
        </w:rPr>
      </w:pPr>
      <w:r>
        <w:rPr>
          <w:sz w:val="24"/>
          <w:rtl/>
          <w:lang w:bidi="ar"/>
        </w:rPr>
        <w:t>اتفاقيات تقديم أو تقديم فعلي لمعلومات عن العرق، أو الدين، أو الجنس، أو الأصل القومي لشخص آخر.</w:t>
      </w:r>
    </w:p>
    <w:p w14:paraId="17ADE764" w14:textId="4212DCE8" w:rsidR="00703BC7" w:rsidRDefault="00000000" w:rsidP="001F24F8">
      <w:pPr>
        <w:pStyle w:val="BodyText"/>
        <w:bidi/>
        <w:spacing w:before="207" w:line="276" w:lineRule="auto"/>
        <w:ind w:left="100" w:right="115"/>
      </w:pPr>
      <w:r>
        <w:rPr>
          <w:rtl/>
          <w:lang w:bidi="ar"/>
        </w:rPr>
        <w:t xml:space="preserve">لدى الولايات المتحدة مصلحة قوية في ضمان أن المواطنين الأمريكيين والشركات الأمريكية لا يساعدون في تنفيذ السياسات الخارجية التي تتعارض مع السياسات الأمريكية. لذلك، يجب على جميع موظفي وممثلي </w:t>
      </w:r>
      <w:r>
        <w:t>SEKO</w:t>
      </w:r>
      <w:r>
        <w:rPr>
          <w:rtl/>
          <w:lang w:bidi="ar"/>
        </w:rPr>
        <w:t xml:space="preserve"> الامتناع عن المشاركة في أي مقاطعة أجنبية غير مصرح بها. لن تؤدي انتهاكات سياسة مكافحة المقاطعة الأمريكية إلى إنهاء العلاقات مع </w:t>
      </w:r>
      <w:r>
        <w:t>SEKO</w:t>
      </w:r>
      <w:r>
        <w:rPr>
          <w:rtl/>
          <w:lang w:bidi="ar"/>
        </w:rPr>
        <w:t xml:space="preserve"> فقط، بل قد تتعرض أيضًا لعقوبات جنائية. يجب على موظفي </w:t>
      </w:r>
      <w:r>
        <w:t>SEKO</w:t>
      </w:r>
      <w:r>
        <w:rPr>
          <w:rtl/>
          <w:lang w:bidi="ar"/>
        </w:rPr>
        <w:t xml:space="preserve"> الرجوع إلى دليل الامتثال الخاص بشركة </w:t>
      </w:r>
      <w:r>
        <w:t>SEKO</w:t>
      </w:r>
      <w:r>
        <w:rPr>
          <w:rtl/>
          <w:lang w:bidi="ar"/>
        </w:rPr>
        <w:t xml:space="preserve"> للحصول على مزيد من المعلومات حول التعرف على معلومات المقاطعة والإبلاغ عنها.</w:t>
      </w:r>
    </w:p>
    <w:p w14:paraId="0592A7A8" w14:textId="77777777" w:rsidR="00703BC7" w:rsidRDefault="00703BC7">
      <w:pPr>
        <w:spacing w:line="276" w:lineRule="auto"/>
        <w:sectPr w:rsidR="00703BC7">
          <w:pgSz w:w="12240" w:h="15840"/>
          <w:pgMar w:top="2180" w:right="1340" w:bottom="1200" w:left="1340" w:header="406" w:footer="1008" w:gutter="0"/>
          <w:cols w:space="720"/>
        </w:sectPr>
      </w:pPr>
    </w:p>
    <w:p w14:paraId="66369C54" w14:textId="77777777" w:rsidR="00703BC7" w:rsidRDefault="00703BC7">
      <w:pPr>
        <w:pStyle w:val="BodyText"/>
        <w:spacing w:before="3"/>
        <w:rPr>
          <w:sz w:val="19"/>
        </w:rPr>
      </w:pPr>
    </w:p>
    <w:p w14:paraId="58181EDD" w14:textId="77777777" w:rsidR="00703BC7" w:rsidRDefault="00000000">
      <w:pPr>
        <w:pStyle w:val="ListParagraph"/>
        <w:numPr>
          <w:ilvl w:val="1"/>
          <w:numId w:val="2"/>
        </w:numPr>
        <w:tabs>
          <w:tab w:val="left" w:pos="821"/>
        </w:tabs>
        <w:bidi/>
        <w:spacing w:before="92"/>
        <w:rPr>
          <w:sz w:val="24"/>
        </w:rPr>
      </w:pPr>
      <w:r>
        <w:rPr>
          <w:sz w:val="24"/>
          <w:rtl/>
          <w:lang w:bidi="ar"/>
        </w:rPr>
        <w:t>الإبلاغ عن الانتهاكات.</w:t>
      </w:r>
    </w:p>
    <w:p w14:paraId="3064EC70" w14:textId="77777777" w:rsidR="00703BC7" w:rsidRDefault="00703BC7">
      <w:pPr>
        <w:pStyle w:val="BodyText"/>
        <w:spacing w:before="1"/>
        <w:rPr>
          <w:sz w:val="21"/>
        </w:rPr>
      </w:pPr>
    </w:p>
    <w:p w14:paraId="2ACF4A99" w14:textId="77777777" w:rsidR="00703BC7" w:rsidRDefault="00000000">
      <w:pPr>
        <w:pStyle w:val="BodyText"/>
        <w:bidi/>
        <w:spacing w:line="276" w:lineRule="auto"/>
        <w:ind w:left="100" w:right="154"/>
      </w:pPr>
      <w:r>
        <w:rPr>
          <w:rtl/>
          <w:lang w:bidi="ar"/>
        </w:rPr>
        <w:t xml:space="preserve">يتحمل جميع الموظفين والأطراف المرتبطة بشركة </w:t>
      </w:r>
      <w:r>
        <w:t>SEKO</w:t>
      </w:r>
      <w:r>
        <w:rPr>
          <w:rtl/>
          <w:lang w:bidi="ar"/>
        </w:rPr>
        <w:t xml:space="preserve"> مسؤولية الامتثال لمدونة قواعد السلوك هذه. في مجال الأخلاقيات والمشروعية القانونية، تلتزم جميع الأطراف تجاه </w:t>
      </w:r>
      <w:r>
        <w:t>SEKO</w:t>
      </w:r>
      <w:r>
        <w:rPr>
          <w:rtl/>
          <w:lang w:bidi="ar"/>
        </w:rPr>
        <w:t xml:space="preserve"> بأن تكون في حالة تأهب للانتهاكات المحتملة لمدونة قواعد السلوك في أي معاملات للأعمال، وتُشجع على الإبلاغ عن هذه الانتهاكات على الفور إلى الامتثال المؤسسي لشركة </w:t>
      </w:r>
      <w:r>
        <w:t>SEKO</w:t>
      </w:r>
      <w:r>
        <w:rPr>
          <w:rtl/>
          <w:lang w:bidi="ar"/>
        </w:rPr>
        <w:t xml:space="preserve"> </w:t>
      </w:r>
      <w:hyperlink r:id="rId11">
        <w:r>
          <w:rPr>
            <w:color w:val="0462C1"/>
            <w:u w:val="single"/>
            <w:rtl/>
            <w:lang w:bidi="ar"/>
          </w:rPr>
          <w:t>على</w:t>
        </w:r>
      </w:hyperlink>
      <w:r>
        <w:rPr>
          <w:rtl/>
          <w:lang w:bidi="ar"/>
        </w:rPr>
        <w:t xml:space="preserve"> </w:t>
      </w:r>
      <w:r>
        <w:t>compliance@sekologistics.com</w:t>
      </w:r>
      <w:r>
        <w:rPr>
          <w:rtl/>
          <w:lang w:bidi="ar"/>
        </w:rPr>
        <w:t>.</w:t>
      </w:r>
    </w:p>
    <w:p w14:paraId="6D6D951D" w14:textId="77777777" w:rsidR="00703BC7" w:rsidRDefault="00000000">
      <w:pPr>
        <w:pStyle w:val="BodyText"/>
        <w:bidi/>
        <w:spacing w:before="199" w:line="276" w:lineRule="auto"/>
        <w:ind w:left="100" w:right="234"/>
      </w:pPr>
      <w:r>
        <w:rPr>
          <w:rtl/>
          <w:lang w:bidi="ar"/>
        </w:rPr>
        <w:t xml:space="preserve">من المتوقع أيضًا أن يتعاون الموظفون وجميع الأطراف الأخرى التي تمثل </w:t>
      </w:r>
      <w:r>
        <w:t>SEKO</w:t>
      </w:r>
      <w:r>
        <w:rPr>
          <w:rtl/>
          <w:lang w:bidi="ar"/>
        </w:rPr>
        <w:t xml:space="preserve"> في أي نوع من التحقيق. بالإضافة إلى ذلك، يجب على أي موظف و/ أو شريك و/ أو وكيل مدان بارتكاب جناية إبلاغ الامتثال المؤسسي لشركة </w:t>
      </w:r>
      <w:r>
        <w:t>SEKO</w:t>
      </w:r>
      <w:r>
        <w:rPr>
          <w:rtl/>
          <w:lang w:bidi="ar"/>
        </w:rPr>
        <w:t xml:space="preserve"> بذلك (ما لم يحظر القانون خلاف ذلك أو يحميه من القيام بذلك).</w:t>
      </w:r>
    </w:p>
    <w:p w14:paraId="7E0D365F" w14:textId="0006822D" w:rsidR="00703BC7" w:rsidRDefault="00000000" w:rsidP="001F24F8">
      <w:pPr>
        <w:pStyle w:val="BodyText"/>
        <w:bidi/>
        <w:spacing w:before="200" w:line="276" w:lineRule="auto"/>
        <w:ind w:left="100" w:right="115"/>
      </w:pPr>
      <w:r>
        <w:rPr>
          <w:rtl/>
          <w:lang w:bidi="ar"/>
        </w:rPr>
        <w:t xml:space="preserve">في جميع الحالات التي يوجد فيها نشاط مشكوك فيه يتعلق بمدونة قواعد السلوك، أو أي سوء سلوك آخر، سيُجرى تحقيق لتحديد الإجراء المناسب. كلما أمكن، ستحافظ </w:t>
      </w:r>
      <w:r>
        <w:t>SEKO</w:t>
      </w:r>
      <w:r>
        <w:rPr>
          <w:rtl/>
          <w:lang w:bidi="ar"/>
        </w:rPr>
        <w:t xml:space="preserve"> على سرية هوية جميع الموظفين والأطراف الأخرى. ستحافظ سياسة السرية الخاصة بشركة </w:t>
      </w:r>
      <w:r>
        <w:t>SEKO</w:t>
      </w:r>
      <w:r>
        <w:rPr>
          <w:rtl/>
          <w:lang w:bidi="ar"/>
        </w:rPr>
        <w:t xml:space="preserve"> على سرية جميع المعلومات المتعلقة بمن تُقدم ادعاءات الانتهاكات ضدهم، حتى يُحدد حدوث انتهاك. وبالمثل، كلما أمكن، ستحافظ </w:t>
      </w:r>
      <w:r>
        <w:t>SEKO</w:t>
      </w:r>
      <w:r>
        <w:rPr>
          <w:rtl/>
          <w:lang w:bidi="ar"/>
        </w:rPr>
        <w:t xml:space="preserve"> على سرية هوية أي شخص يبلغ عن انتهاك محتمل. يُحظر تمامًا الانتقام من أي موظف بسبب الإبلاغ عن انتهاك مشتبه به.</w:t>
      </w:r>
    </w:p>
    <w:p w14:paraId="5BEBE3A1" w14:textId="77777777" w:rsidR="00703BC7" w:rsidRDefault="00000000">
      <w:pPr>
        <w:pStyle w:val="ListParagraph"/>
        <w:numPr>
          <w:ilvl w:val="0"/>
          <w:numId w:val="2"/>
        </w:numPr>
        <w:tabs>
          <w:tab w:val="left" w:pos="1114"/>
        </w:tabs>
        <w:bidi/>
        <w:spacing w:before="203"/>
        <w:ind w:left="1113" w:hanging="293"/>
        <w:jc w:val="left"/>
        <w:rPr>
          <w:sz w:val="24"/>
        </w:rPr>
      </w:pPr>
      <w:r>
        <w:rPr>
          <w:sz w:val="24"/>
          <w:rtl/>
          <w:lang w:bidi="ar"/>
        </w:rPr>
        <w:t>الإجراءات التأديبية.</w:t>
      </w:r>
    </w:p>
    <w:p w14:paraId="038880EB" w14:textId="77777777" w:rsidR="00703BC7" w:rsidRDefault="00703BC7">
      <w:pPr>
        <w:pStyle w:val="BodyText"/>
        <w:spacing w:before="7"/>
        <w:rPr>
          <w:sz w:val="20"/>
        </w:rPr>
      </w:pPr>
    </w:p>
    <w:p w14:paraId="26C65A4A" w14:textId="77777777" w:rsidR="00703BC7" w:rsidRDefault="00000000">
      <w:pPr>
        <w:pStyle w:val="BodyText"/>
        <w:bidi/>
        <w:spacing w:line="276" w:lineRule="auto"/>
        <w:ind w:left="100"/>
      </w:pPr>
      <w:r>
        <w:rPr>
          <w:rtl/>
          <w:lang w:bidi="ar"/>
        </w:rPr>
        <w:t xml:space="preserve">ستحدد إدارة </w:t>
      </w:r>
      <w:r>
        <w:t>SEKO</w:t>
      </w:r>
      <w:r>
        <w:rPr>
          <w:rtl/>
          <w:lang w:bidi="ar"/>
        </w:rPr>
        <w:t xml:space="preserve"> و/ أو شركاء </w:t>
      </w:r>
      <w:r>
        <w:t>SEKO</w:t>
      </w:r>
      <w:r>
        <w:rPr>
          <w:rtl/>
          <w:lang w:bidi="ar"/>
        </w:rPr>
        <w:t xml:space="preserve"> و/ أو وكلائها (إذا تأثروا) الإجراء المناسب في التحقيق فيما يتعلق بالانتهاك المحتمل لمدونة قواعد السلوك أو أي سوء سلوك مزعوم يقع ضمن نطاق المبادئ المنصوص عليها في هذه الوثيقة. ستشكل انتهاكات مدونة قواعد السلوك الخاصة بشركة </w:t>
      </w:r>
      <w:r>
        <w:t>SEKO</w:t>
      </w:r>
      <w:r>
        <w:rPr>
          <w:rtl/>
          <w:lang w:bidi="ar"/>
        </w:rPr>
        <w:t xml:space="preserve">، أو سياساتها وإجراءاتها الأخرى المتوافقة مع مدونة قواعد السلوك هذه، سببًا لاتخاذ إجراءات تأديبية تصل إلى وتشمل إنهاء العمل، أو في حالة وجود شريك و/ أو وكيل، يجوز إنهاء العقد أو الاتفاقية مع شركة </w:t>
      </w:r>
      <w:r>
        <w:t>SEKO</w:t>
      </w:r>
      <w:r>
        <w:rPr>
          <w:rtl/>
          <w:lang w:bidi="ar"/>
        </w:rPr>
        <w:t xml:space="preserve"> أو تعليقها. سيُلزم جميع الموظفين والشركاء والوكلاء بنفس معايير السلوك الموضحة في هذه الوثيقة..</w:t>
      </w:r>
    </w:p>
    <w:p w14:paraId="22829516" w14:textId="77777777" w:rsidR="00703BC7" w:rsidRDefault="00000000">
      <w:pPr>
        <w:pStyle w:val="ListParagraph"/>
        <w:numPr>
          <w:ilvl w:val="0"/>
          <w:numId w:val="2"/>
        </w:numPr>
        <w:tabs>
          <w:tab w:val="left" w:pos="1181"/>
        </w:tabs>
        <w:bidi/>
        <w:spacing w:before="203"/>
        <w:ind w:left="1181" w:hanging="360"/>
        <w:jc w:val="left"/>
        <w:rPr>
          <w:sz w:val="24"/>
        </w:rPr>
      </w:pPr>
      <w:r>
        <w:rPr>
          <w:sz w:val="24"/>
          <w:rtl/>
          <w:lang w:bidi="ar"/>
        </w:rPr>
        <w:t>إقرار ونشر مدونة قواعد السلوك</w:t>
      </w:r>
    </w:p>
    <w:p w14:paraId="069E3C6C" w14:textId="77777777" w:rsidR="00703BC7" w:rsidRDefault="00703BC7">
      <w:pPr>
        <w:pStyle w:val="BodyText"/>
        <w:spacing w:before="1"/>
        <w:rPr>
          <w:sz w:val="21"/>
        </w:rPr>
      </w:pPr>
    </w:p>
    <w:p w14:paraId="7F809D06" w14:textId="77777777" w:rsidR="00703BC7" w:rsidRDefault="00000000">
      <w:pPr>
        <w:pStyle w:val="BodyText"/>
        <w:bidi/>
        <w:spacing w:line="276" w:lineRule="auto"/>
        <w:ind w:left="100" w:right="115"/>
      </w:pPr>
      <w:r>
        <w:rPr>
          <w:rtl/>
          <w:lang w:bidi="ar"/>
        </w:rPr>
        <w:t xml:space="preserve">سيُطلب من كل موظف وشريك ووكيل مراجعة مدونة قواعد السلوك عبر شبكة الإنترانت لشركة </w:t>
      </w:r>
      <w:r>
        <w:t>SEKO</w:t>
      </w:r>
      <w:r>
        <w:rPr>
          <w:rtl/>
          <w:lang w:bidi="ar"/>
        </w:rPr>
        <w:t xml:space="preserve"> أو على الموقع الإلكتروني العام لشركة </w:t>
      </w:r>
      <w:r>
        <w:t>SEKO</w:t>
      </w:r>
      <w:r>
        <w:rPr>
          <w:rtl/>
          <w:lang w:bidi="ar"/>
        </w:rPr>
        <w:t xml:space="preserve"> على </w:t>
      </w:r>
      <w:hyperlink r:id="rId12">
        <w:r>
          <w:rPr>
            <w:color w:val="0462C1"/>
            <w:u w:val="single"/>
          </w:rPr>
          <w:t>www.sekologistics.com</w:t>
        </w:r>
      </w:hyperlink>
      <w:r>
        <w:rPr>
          <w:rtl/>
          <w:lang w:bidi="ar"/>
        </w:rPr>
        <w:t>. يجب إرسال أي أسئلة تتعلق بشروط مدونة قواعد السلوك هذه إلى عنوان البريد الإلكتروني المنصوص عليه في هذه الوثيقة.</w:t>
      </w:r>
    </w:p>
    <w:sectPr w:rsidR="00703BC7">
      <w:pgSz w:w="12240" w:h="15840"/>
      <w:pgMar w:top="2180" w:right="1340" w:bottom="1200" w:left="1340" w:header="4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2C4A" w14:textId="77777777" w:rsidR="008C4BA1" w:rsidRDefault="008C4BA1">
      <w:pPr>
        <w:bidi/>
      </w:pPr>
      <w:r>
        <w:separator/>
      </w:r>
    </w:p>
  </w:endnote>
  <w:endnote w:type="continuationSeparator" w:id="0">
    <w:p w14:paraId="370F05A5" w14:textId="77777777" w:rsidR="008C4BA1" w:rsidRDefault="008C4BA1">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EF8F" w14:textId="77777777" w:rsidR="00703BC7" w:rsidRDefault="00000000">
    <w:pPr>
      <w:pStyle w:val="BodyText"/>
      <w:bidi/>
      <w:spacing w:line="14" w:lineRule="auto"/>
      <w:rPr>
        <w:sz w:val="20"/>
      </w:rPr>
    </w:pPr>
    <w:r>
      <w:pict w14:anchorId="5F5BFC48">
        <v:shapetype id="_x0000_t202" coordsize="21600,21600" o:spt="202" path="m,l,21600r21600,l21600,xe">
          <v:stroke joinstyle="miter"/>
          <v:path gradientshapeok="t" o:connecttype="rect"/>
        </v:shapetype>
        <v:shape id="docshape1" o:spid="_x0000_s1026" type="#_x0000_t202" style="position:absolute;left:0;text-align:left;margin-left:531.7pt;margin-top:730.6pt;width:12.6pt;height:13.05pt;z-index:-15789056;mso-position-horizontal-relative:page;mso-position-vertical-relative:page" filled="f" stroked="f">
          <v:textbox inset="0,0,0,0">
            <w:txbxContent>
              <w:p w14:paraId="43C9BE15" w14:textId="77777777" w:rsidR="00703BC7" w:rsidRDefault="00000000">
                <w:pPr>
                  <w:bidi/>
                  <w:spacing w:line="245" w:lineRule="exact"/>
                  <w:ind w:left="60"/>
                  <w:rPr>
                    <w:rFonts w:asci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tl/>
                    <w:lang w:bidi="ar"/>
                  </w:rPr>
                  <w:t>1</w:t>
                </w:r>
                <w:r>
                  <w:rPr>
                    <w:rFonts w:ascii="Calibri" w:hAnsi="Calibri"/>
                  </w:rPr>
                  <w:fldChar w:fldCharType="end"/>
                </w:r>
              </w:p>
            </w:txbxContent>
          </v:textbox>
          <w10:wrap anchorx="page" anchory="page"/>
        </v:shape>
      </w:pict>
    </w:r>
    <w:r>
      <w:pict w14:anchorId="66EA40ED">
        <v:shape id="docshape2" o:spid="_x0000_s1025" type="#_x0000_t202" style="position:absolute;left:0;text-align:left;margin-left:71pt;margin-top:744.05pt;width:106.45pt;height:13.05pt;z-index:-15788544;mso-position-horizontal-relative:page;mso-position-vertical-relative:page" filled="f" stroked="f">
          <v:textbox inset="0,0,0,0">
            <w:txbxContent>
              <w:p w14:paraId="3ACB3168" w14:textId="77777777" w:rsidR="00703BC7" w:rsidRDefault="00000000">
                <w:pPr>
                  <w:bidi/>
                  <w:spacing w:line="245" w:lineRule="exact"/>
                  <w:ind w:left="20"/>
                  <w:rPr>
                    <w:rFonts w:ascii="Calibri"/>
                  </w:rPr>
                </w:pPr>
                <w:r>
                  <w:rPr>
                    <w:rFonts w:ascii="Calibri" w:hAnsi="Calibri"/>
                    <w:rtl/>
                    <w:lang w:bidi="ar"/>
                  </w:rPr>
                  <w:t>المراجعة 6، 24 أكتوبر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0DFE" w14:textId="77777777" w:rsidR="008C4BA1" w:rsidRDefault="008C4BA1">
      <w:pPr>
        <w:bidi/>
      </w:pPr>
      <w:r>
        <w:separator/>
      </w:r>
    </w:p>
  </w:footnote>
  <w:footnote w:type="continuationSeparator" w:id="0">
    <w:p w14:paraId="1232BB64" w14:textId="77777777" w:rsidR="008C4BA1" w:rsidRDefault="008C4BA1">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0B73" w14:textId="77777777" w:rsidR="00703BC7" w:rsidRDefault="00000000">
    <w:pPr>
      <w:pStyle w:val="BodyText"/>
      <w:bidi/>
      <w:spacing w:line="14" w:lineRule="auto"/>
      <w:rPr>
        <w:sz w:val="20"/>
      </w:rPr>
    </w:pPr>
    <w:r>
      <w:rPr>
        <w:noProof/>
      </w:rPr>
      <w:drawing>
        <wp:anchor distT="0" distB="0" distL="0" distR="0" simplePos="0" relativeHeight="487526912" behindDoc="1" locked="0" layoutInCell="1" allowOverlap="1" wp14:anchorId="2525228A" wp14:editId="1CAACBDF">
          <wp:simplePos x="0" y="0"/>
          <wp:positionH relativeFrom="page">
            <wp:posOffset>2066609</wp:posOffset>
          </wp:positionH>
          <wp:positionV relativeFrom="page">
            <wp:posOffset>257694</wp:posOffset>
          </wp:positionV>
          <wp:extent cx="3762690" cy="11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62690" cy="11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65A"/>
    <w:multiLevelType w:val="hybridMultilevel"/>
    <w:tmpl w:val="598CC2A4"/>
    <w:lvl w:ilvl="0" w:tplc="B8CC2086">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0DBC34AC">
      <w:numFmt w:val="bullet"/>
      <w:lvlText w:val="•"/>
      <w:lvlJc w:val="left"/>
      <w:pPr>
        <w:ind w:left="1694" w:hanging="361"/>
      </w:pPr>
      <w:rPr>
        <w:rFonts w:hint="default"/>
        <w:lang w:val="en-US" w:eastAsia="en-US" w:bidi="ar-SA"/>
      </w:rPr>
    </w:lvl>
    <w:lvl w:ilvl="2" w:tplc="1F3472BC">
      <w:numFmt w:val="bullet"/>
      <w:lvlText w:val="•"/>
      <w:lvlJc w:val="left"/>
      <w:pPr>
        <w:ind w:left="2568" w:hanging="361"/>
      </w:pPr>
      <w:rPr>
        <w:rFonts w:hint="default"/>
        <w:lang w:val="en-US" w:eastAsia="en-US" w:bidi="ar-SA"/>
      </w:rPr>
    </w:lvl>
    <w:lvl w:ilvl="3" w:tplc="32BA60BA">
      <w:numFmt w:val="bullet"/>
      <w:lvlText w:val="•"/>
      <w:lvlJc w:val="left"/>
      <w:pPr>
        <w:ind w:left="3442" w:hanging="361"/>
      </w:pPr>
      <w:rPr>
        <w:rFonts w:hint="default"/>
        <w:lang w:val="en-US" w:eastAsia="en-US" w:bidi="ar-SA"/>
      </w:rPr>
    </w:lvl>
    <w:lvl w:ilvl="4" w:tplc="4E7AF552">
      <w:numFmt w:val="bullet"/>
      <w:lvlText w:val="•"/>
      <w:lvlJc w:val="left"/>
      <w:pPr>
        <w:ind w:left="4316" w:hanging="361"/>
      </w:pPr>
      <w:rPr>
        <w:rFonts w:hint="default"/>
        <w:lang w:val="en-US" w:eastAsia="en-US" w:bidi="ar-SA"/>
      </w:rPr>
    </w:lvl>
    <w:lvl w:ilvl="5" w:tplc="FC505276">
      <w:numFmt w:val="bullet"/>
      <w:lvlText w:val="•"/>
      <w:lvlJc w:val="left"/>
      <w:pPr>
        <w:ind w:left="5190" w:hanging="361"/>
      </w:pPr>
      <w:rPr>
        <w:rFonts w:hint="default"/>
        <w:lang w:val="en-US" w:eastAsia="en-US" w:bidi="ar-SA"/>
      </w:rPr>
    </w:lvl>
    <w:lvl w:ilvl="6" w:tplc="F40864C0">
      <w:numFmt w:val="bullet"/>
      <w:lvlText w:val="•"/>
      <w:lvlJc w:val="left"/>
      <w:pPr>
        <w:ind w:left="6064" w:hanging="361"/>
      </w:pPr>
      <w:rPr>
        <w:rFonts w:hint="default"/>
        <w:lang w:val="en-US" w:eastAsia="en-US" w:bidi="ar-SA"/>
      </w:rPr>
    </w:lvl>
    <w:lvl w:ilvl="7" w:tplc="B6AEA286">
      <w:numFmt w:val="bullet"/>
      <w:lvlText w:val="•"/>
      <w:lvlJc w:val="left"/>
      <w:pPr>
        <w:ind w:left="6938" w:hanging="361"/>
      </w:pPr>
      <w:rPr>
        <w:rFonts w:hint="default"/>
        <w:lang w:val="en-US" w:eastAsia="en-US" w:bidi="ar-SA"/>
      </w:rPr>
    </w:lvl>
    <w:lvl w:ilvl="8" w:tplc="5CD24CEC">
      <w:numFmt w:val="bullet"/>
      <w:lvlText w:val="•"/>
      <w:lvlJc w:val="left"/>
      <w:pPr>
        <w:ind w:left="7812" w:hanging="361"/>
      </w:pPr>
      <w:rPr>
        <w:rFonts w:hint="default"/>
        <w:lang w:val="en-US" w:eastAsia="en-US" w:bidi="ar-SA"/>
      </w:rPr>
    </w:lvl>
  </w:abstractNum>
  <w:abstractNum w:abstractNumId="1" w15:restartNumberingAfterBreak="0">
    <w:nsid w:val="20B50226"/>
    <w:multiLevelType w:val="hybridMultilevel"/>
    <w:tmpl w:val="17F8EDFE"/>
    <w:lvl w:ilvl="0" w:tplc="0409000F">
      <w:start w:val="1"/>
      <w:numFmt w:val="decimal"/>
      <w:lvlText w:val="%1."/>
      <w:lvlJc w:val="left"/>
      <w:pPr>
        <w:ind w:left="821" w:hanging="721"/>
        <w:jc w:val="right"/>
      </w:pPr>
      <w:rPr>
        <w:rFonts w:hint="default"/>
        <w:b w:val="0"/>
        <w:bCs w:val="0"/>
        <w:i w:val="0"/>
        <w:iCs w:val="0"/>
        <w:w w:val="100"/>
        <w:sz w:val="24"/>
        <w:szCs w:val="24"/>
        <w:lang w:val="en-US" w:eastAsia="en-US" w:bidi="ar-SA"/>
      </w:rPr>
    </w:lvl>
    <w:lvl w:ilvl="1" w:tplc="B356654A">
      <w:start w:val="1"/>
      <w:numFmt w:val="arabicAbjad"/>
      <w:lvlText w:val="%2)"/>
      <w:lvlJc w:val="left"/>
      <w:pPr>
        <w:ind w:left="820" w:hanging="360"/>
      </w:pPr>
      <w:rPr>
        <w:rFonts w:ascii="Arial" w:eastAsia="Arial" w:hAnsi="Arial" w:cs="Arial" w:hint="default"/>
        <w:b w:val="0"/>
        <w:bCs w:val="0"/>
        <w:i w:val="0"/>
        <w:iCs w:val="0"/>
        <w:w w:val="99"/>
        <w:sz w:val="24"/>
        <w:szCs w:val="24"/>
      </w:rPr>
    </w:lvl>
    <w:lvl w:ilvl="2" w:tplc="DE4CA27E">
      <w:numFmt w:val="bullet"/>
      <w:lvlText w:val="•"/>
      <w:lvlJc w:val="left"/>
      <w:pPr>
        <w:ind w:left="2568" w:hanging="361"/>
      </w:pPr>
      <w:rPr>
        <w:rFonts w:hint="default"/>
        <w:lang w:val="en-US" w:eastAsia="en-US" w:bidi="ar-SA"/>
      </w:rPr>
    </w:lvl>
    <w:lvl w:ilvl="3" w:tplc="2460C920">
      <w:numFmt w:val="bullet"/>
      <w:lvlText w:val="•"/>
      <w:lvlJc w:val="left"/>
      <w:pPr>
        <w:ind w:left="3442" w:hanging="361"/>
      </w:pPr>
      <w:rPr>
        <w:rFonts w:hint="default"/>
        <w:lang w:val="en-US" w:eastAsia="en-US" w:bidi="ar-SA"/>
      </w:rPr>
    </w:lvl>
    <w:lvl w:ilvl="4" w:tplc="84FC44D4">
      <w:numFmt w:val="bullet"/>
      <w:lvlText w:val="•"/>
      <w:lvlJc w:val="left"/>
      <w:pPr>
        <w:ind w:left="4316" w:hanging="361"/>
      </w:pPr>
      <w:rPr>
        <w:rFonts w:hint="default"/>
        <w:lang w:val="en-US" w:eastAsia="en-US" w:bidi="ar-SA"/>
      </w:rPr>
    </w:lvl>
    <w:lvl w:ilvl="5" w:tplc="02D85FA6">
      <w:numFmt w:val="bullet"/>
      <w:lvlText w:val="•"/>
      <w:lvlJc w:val="left"/>
      <w:pPr>
        <w:ind w:left="5190" w:hanging="361"/>
      </w:pPr>
      <w:rPr>
        <w:rFonts w:hint="default"/>
        <w:lang w:val="en-US" w:eastAsia="en-US" w:bidi="ar-SA"/>
      </w:rPr>
    </w:lvl>
    <w:lvl w:ilvl="6" w:tplc="D1EE15B8">
      <w:numFmt w:val="bullet"/>
      <w:lvlText w:val="•"/>
      <w:lvlJc w:val="left"/>
      <w:pPr>
        <w:ind w:left="6064" w:hanging="361"/>
      </w:pPr>
      <w:rPr>
        <w:rFonts w:hint="default"/>
        <w:lang w:val="en-US" w:eastAsia="en-US" w:bidi="ar-SA"/>
      </w:rPr>
    </w:lvl>
    <w:lvl w:ilvl="7" w:tplc="79F053FA">
      <w:numFmt w:val="bullet"/>
      <w:lvlText w:val="•"/>
      <w:lvlJc w:val="left"/>
      <w:pPr>
        <w:ind w:left="6938" w:hanging="361"/>
      </w:pPr>
      <w:rPr>
        <w:rFonts w:hint="default"/>
        <w:lang w:val="en-US" w:eastAsia="en-US" w:bidi="ar-SA"/>
      </w:rPr>
    </w:lvl>
    <w:lvl w:ilvl="8" w:tplc="FADC7F1C">
      <w:numFmt w:val="bullet"/>
      <w:lvlText w:val="•"/>
      <w:lvlJc w:val="left"/>
      <w:pPr>
        <w:ind w:left="7812" w:hanging="361"/>
      </w:pPr>
      <w:rPr>
        <w:rFonts w:hint="default"/>
        <w:lang w:val="en-US" w:eastAsia="en-US" w:bidi="ar-SA"/>
      </w:rPr>
    </w:lvl>
  </w:abstractNum>
  <w:num w:numId="1" w16cid:durableId="1358042290">
    <w:abstractNumId w:val="0"/>
  </w:num>
  <w:num w:numId="2" w16cid:durableId="1721855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03BC7"/>
    <w:rsid w:val="001F24F8"/>
    <w:rsid w:val="00703BC7"/>
    <w:rsid w:val="008C4BA1"/>
    <w:rsid w:val="00916C5D"/>
    <w:rsid w:val="00D5748A"/>
    <w:rsid w:val="00F33633"/>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3"/>
      <w:ind w:left="2245" w:right="2248"/>
      <w:jc w:val="center"/>
    </w:pPr>
    <w:rPr>
      <w:b/>
      <w:bCs/>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C5D"/>
    <w:pPr>
      <w:tabs>
        <w:tab w:val="center" w:pos="4680"/>
        <w:tab w:val="right" w:pos="9360"/>
      </w:tabs>
    </w:pPr>
  </w:style>
  <w:style w:type="character" w:customStyle="1" w:styleId="HeaderChar">
    <w:name w:val="Header Char"/>
    <w:basedOn w:val="DefaultParagraphFont"/>
    <w:link w:val="Header"/>
    <w:uiPriority w:val="99"/>
    <w:rsid w:val="00916C5D"/>
    <w:rPr>
      <w:rFonts w:ascii="Arial" w:eastAsia="Arial" w:hAnsi="Arial" w:cs="Arial"/>
    </w:rPr>
  </w:style>
  <w:style w:type="paragraph" w:styleId="Footer">
    <w:name w:val="footer"/>
    <w:basedOn w:val="Normal"/>
    <w:link w:val="FooterChar"/>
    <w:uiPriority w:val="99"/>
    <w:unhideWhenUsed/>
    <w:rsid w:val="00916C5D"/>
    <w:pPr>
      <w:tabs>
        <w:tab w:val="center" w:pos="4680"/>
        <w:tab w:val="right" w:pos="9360"/>
      </w:tabs>
    </w:pPr>
  </w:style>
  <w:style w:type="character" w:customStyle="1" w:styleId="FooterChar">
    <w:name w:val="Footer Char"/>
    <w:basedOn w:val="DefaultParagraphFont"/>
    <w:link w:val="Footer"/>
    <w:uiPriority w:val="99"/>
    <w:rsid w:val="00916C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ekologis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sekologistics.com" TargetMode="External"/><Relationship Id="rId5" Type="http://schemas.openxmlformats.org/officeDocument/2006/relationships/footnotes" Target="footnotes.xml"/><Relationship Id="rId10" Type="http://schemas.openxmlformats.org/officeDocument/2006/relationships/hyperlink" Target="http://www.sekologistics.com/" TargetMode="External"/><Relationship Id="rId4" Type="http://schemas.openxmlformats.org/officeDocument/2006/relationships/webSettings" Target="webSettings.xml"/><Relationship Id="rId9" Type="http://schemas.openxmlformats.org/officeDocument/2006/relationships/hyperlink" Target="mailto:compliance@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2023-08-30T01:10:00Z</dcterms:created>
  <dcterms:modified xsi:type="dcterms:W3CDTF">2023-09-03T11:13:00Z</dcterms:modified>
</cp:coreProperties>
</file>